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62EA2F4C" w:rsidR="009E1B52" w:rsidRPr="009E1B52" w:rsidRDefault="00A32E32" w:rsidP="009215CD">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9215CD">
                      <w:rPr>
                        <w:rStyle w:val="Style47"/>
                        <w:b/>
                        <w:sz w:val="20"/>
                        <w:szCs w:val="20"/>
                        <w:u w:val="single"/>
                      </w:rPr>
                      <w:t>Northwest Romania</w:t>
                    </w:r>
                    <w:r>
                      <w:rPr>
                        <w:rStyle w:val="Style47"/>
                        <w:sz w:val="20"/>
                        <w:szCs w:val="20"/>
                      </w:rPr>
                      <w:t xml:space="preserve"> relating to the inclusion of Roma at local and regional level </w:t>
                    </w:r>
                    <w:r w:rsidRPr="00F21EB4">
                      <w:rPr>
                        <w:rStyle w:val="Style47"/>
                        <w:b/>
                        <w:sz w:val="20"/>
                        <w:szCs w:val="20"/>
                        <w:u w:val="single"/>
                      </w:rPr>
                      <w:t>(National Project Officer)</w:t>
                    </w:r>
                  </w:p>
                </w:tc>
              </w:sdtContent>
            </w:sdt>
          </w:sdtContent>
        </w:sdt>
      </w:tr>
      <w:tr w:rsidR="00A32E32" w:rsidRPr="009E1B52"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55F6C19E" w:rsidR="00A32E32" w:rsidRPr="009E1B52" w:rsidRDefault="00A32E32" w:rsidP="009E1B52">
                <w:pPr>
                  <w:rPr>
                    <w:rFonts w:ascii="Arial Narrow" w:hAnsi="Arial Narrow" w:cs="Times New Roman"/>
                    <w:sz w:val="18"/>
                    <w:szCs w:val="18"/>
                    <w:lang w:eastAsia="fr-FR"/>
                  </w:rPr>
                </w:pPr>
                <w:r>
                  <w:rPr>
                    <w:rStyle w:val="Style47"/>
                    <w:sz w:val="20"/>
                    <w:szCs w:val="20"/>
                    <w:lang w:val="fr-FR"/>
                  </w:rPr>
                  <w:t>EU/CoE Joint Programme</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2F0485"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2F0485"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062480BB" w:rsidR="00A32E32" w:rsidRPr="009E1B52" w:rsidRDefault="00C262BE"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134670F0" w:rsidR="00A32E32" w:rsidRPr="009E1B52" w:rsidRDefault="00B040C5"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Nedim Vrabac, ROMACT Project manager, Support Team to Special Representative of the Secretary General for Roma Issues</w:t>
                </w:r>
              </w:p>
            </w:tc>
          </w:sdtContent>
        </w:sdt>
      </w:tr>
      <w:tr w:rsidR="009E1B52" w:rsidRPr="00E334D9"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CE5F13" w:rsidRDefault="00A32E32" w:rsidP="00A32E32">
                <w:pPr>
                  <w:rPr>
                    <w:rFonts w:ascii="Arial Narrow" w:hAnsi="Arial Narrow"/>
                    <w:sz w:val="18"/>
                    <w:szCs w:val="18"/>
                  </w:rPr>
                </w:pPr>
                <w:r w:rsidRPr="00CE5F13">
                  <w:rPr>
                    <w:rFonts w:ascii="Arial Narrow" w:hAnsi="Arial Narrow"/>
                    <w:sz w:val="18"/>
                    <w:lang w:val="it-IT"/>
                  </w:rPr>
                  <w:t>Zmaja od Bosne 7-7A, Importanne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r>
                  <w:rPr>
                    <w:rFonts w:ascii="Arial Narrow" w:hAnsi="Arial Narrow"/>
                    <w:sz w:val="18"/>
                  </w:rPr>
                  <w:t>ext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(CoE)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support</w:t>
      </w:r>
      <w:r>
        <w:rPr>
          <w:rFonts w:ascii="Arial Narrow" w:hAnsi="Arial Narrow"/>
          <w:sz w:val="20"/>
          <w:szCs w:val="20"/>
        </w:rPr>
        <w:t>ing</w:t>
      </w:r>
      <w:r w:rsidRPr="00CD6307">
        <w:rPr>
          <w:rFonts w:ascii="Arial Narrow" w:hAnsi="Arial Narrow"/>
          <w:sz w:val="20"/>
          <w:szCs w:val="20"/>
        </w:rPr>
        <w:t xml:space="preserve"> cooperation between municipalities willing to design and implement jointly concrete integration measures and projects.</w:t>
      </w:r>
    </w:p>
    <w:p w14:paraId="14E2E7BE" w14:textId="053DA99C" w:rsidR="00A32E32" w:rsidRPr="00CF78CD" w:rsidRDefault="00B06AA2" w:rsidP="00A32E32">
      <w:pPr>
        <w:spacing w:after="100" w:afterAutospacing="1"/>
        <w:jc w:val="both"/>
        <w:rPr>
          <w:rFonts w:ascii="Arial Narrow" w:hAnsi="Arial Narrow"/>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w:t>
      </w:r>
      <w:r w:rsidR="00E334D9">
        <w:rPr>
          <w:rFonts w:ascii="Arial Narrow" w:hAnsi="Arial Narrow"/>
          <w:b/>
          <w:sz w:val="20"/>
          <w:szCs w:val="20"/>
        </w:rPr>
        <w:t xml:space="preserve"> </w:t>
      </w:r>
      <w:r w:rsidR="00A32E32" w:rsidRPr="0056342B">
        <w:rPr>
          <w:rFonts w:ascii="Arial Narrow" w:hAnsi="Arial Narrow"/>
          <w:b/>
          <w:sz w:val="20"/>
          <w:szCs w:val="20"/>
        </w:rPr>
        <w:t>number of municipalities in each country.</w:t>
      </w:r>
      <w:r w:rsidR="00CF78CD">
        <w:rPr>
          <w:rFonts w:ascii="Arial Narrow" w:hAnsi="Arial Narrow"/>
          <w:b/>
          <w:sz w:val="20"/>
          <w:szCs w:val="20"/>
        </w:rPr>
        <w:t xml:space="preserve"> </w:t>
      </w:r>
    </w:p>
    <w:p w14:paraId="09BC298F" w14:textId="318506EE"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r w:rsidR="008154BC">
        <w:rPr>
          <w:rFonts w:ascii="Arial Narrow" w:hAnsi="Arial Narrow"/>
          <w:sz w:val="20"/>
          <w:szCs w:val="20"/>
        </w:rPr>
        <w:t xml:space="preserve"> </w:t>
      </w:r>
      <w:r w:rsidR="008154BC">
        <w:rPr>
          <w:rFonts w:ascii="Arial Narrow" w:hAnsi="Arial Narrow"/>
          <w:sz w:val="20"/>
          <w:szCs w:val="20"/>
        </w:rPr>
        <w:t xml:space="preserve">In Romania, there will be two National Project Officers, one for the Northwest region and one for the Southeast region. The specificities of the </w:t>
      </w:r>
      <w:r w:rsidR="00510F03">
        <w:rPr>
          <w:rFonts w:ascii="Arial Narrow" w:hAnsi="Arial Narrow"/>
          <w:sz w:val="20"/>
          <w:szCs w:val="20"/>
        </w:rPr>
        <w:t>two</w:t>
      </w:r>
      <w:r w:rsidR="008154BC">
        <w:rPr>
          <w:rFonts w:ascii="Arial Narrow" w:hAnsi="Arial Narrow"/>
          <w:sz w:val="20"/>
          <w:szCs w:val="20"/>
        </w:rPr>
        <w:t xml:space="preserve"> regions</w:t>
      </w:r>
      <w:r w:rsidR="00C91AFF">
        <w:rPr>
          <w:rFonts w:ascii="Arial Narrow" w:hAnsi="Arial Narrow"/>
          <w:sz w:val="20"/>
          <w:szCs w:val="20"/>
        </w:rPr>
        <w:t xml:space="preserve">, together with the number of activities to be carried out in each, mean that it would be </w:t>
      </w:r>
      <w:r w:rsidR="00700F44">
        <w:rPr>
          <w:rFonts w:ascii="Arial Narrow" w:hAnsi="Arial Narrow"/>
          <w:sz w:val="20"/>
          <w:szCs w:val="20"/>
        </w:rPr>
        <w:t>impossible from a practical perspective to have one National Project Officer for the entire country.</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53AF28A3"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9215CD" w:rsidRPr="009215CD">
        <w:rPr>
          <w:rFonts w:ascii="Arial Narrow" w:hAnsi="Arial Narrow"/>
          <w:b/>
          <w:noProof/>
          <w:sz w:val="20"/>
          <w:szCs w:val="20"/>
          <w:lang w:eastAsia="fr-FR"/>
        </w:rPr>
        <w:t>Northwest Romania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0DCC09BD"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9215CD">
        <w:rPr>
          <w:rFonts w:ascii="Arial Narrow" w:hAnsi="Arial Narrow"/>
          <w:noProof/>
          <w:sz w:val="20"/>
          <w:szCs w:val="20"/>
          <w:lang w:eastAsia="fr-FR"/>
        </w:rPr>
        <w:t>Northwest Romania</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07E47F68" w:rsidR="00407E01" w:rsidRPr="00500D73" w:rsidRDefault="004C6C10"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Pr>
          <w:rFonts w:ascii="Arial Narrow" w:hAnsi="Arial Narrow"/>
          <w:b/>
          <w:bCs/>
          <w:noProof/>
          <w:sz w:val="20"/>
          <w:szCs w:val="20"/>
          <w:lang w:eastAsia="fr-FR"/>
        </w:rPr>
        <w:t>Training</w:t>
      </w:r>
      <w:r w:rsidR="00407E01"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10B8312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xml:space="preserve">, including reviewing draft work plans prepared by the National Focal Point for the implementation of the Project in </w:t>
      </w:r>
      <w:r w:rsidR="009215CD">
        <w:rPr>
          <w:rFonts w:ascii="Arial Narrow" w:hAnsi="Arial Narrow"/>
          <w:noProof/>
          <w:sz w:val="20"/>
          <w:szCs w:val="20"/>
          <w:lang w:eastAsia="fr-FR"/>
        </w:rPr>
        <w:t>Northwest Romania</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lastRenderedPageBreak/>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its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 xml:space="preserve">the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t>the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(by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do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05CFD124" w:rsidR="00407E01"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9215CD">
        <w:rPr>
          <w:rFonts w:ascii="Arial Narrow" w:hAnsi="Arial Narrow" w:cs="Times New Roman"/>
          <w:sz w:val="20"/>
          <w:szCs w:val="20"/>
        </w:rPr>
        <w:t>Romanian</w:t>
      </w:r>
      <w:r w:rsidR="00AB41C4">
        <w:rPr>
          <w:rFonts w:ascii="Arial Narrow" w:hAnsi="Arial Narrow" w:cs="Times New Roman"/>
          <w:sz w:val="20"/>
          <w:szCs w:val="20"/>
        </w:rPr>
        <w:t xml:space="preserve"> (at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lastRenderedPageBreak/>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525186F1" w14:textId="77777777" w:rsidR="00D63A8B" w:rsidRPr="00D63A8B" w:rsidRDefault="007C434C" w:rsidP="00AB77BA">
      <w:pPr>
        <w:numPr>
          <w:ilvl w:val="1"/>
          <w:numId w:val="9"/>
        </w:numPr>
        <w:autoSpaceDE w:val="0"/>
        <w:autoSpaceDN w:val="0"/>
        <w:adjustRightInd w:val="0"/>
        <w:ind w:left="993" w:hanging="284"/>
        <w:jc w:val="both"/>
        <w:rPr>
          <w:rFonts w:ascii="Arial Narrow" w:hAnsi="Arial Narrow"/>
          <w:color w:val="808080"/>
          <w:sz w:val="20"/>
          <w:szCs w:val="20"/>
        </w:rPr>
      </w:pPr>
      <w:r w:rsidRPr="00D63A8B">
        <w:rPr>
          <w:rFonts w:ascii="Arial Narrow" w:hAnsi="Arial Narrow" w:cs="Times New Roman"/>
          <w:sz w:val="20"/>
          <w:szCs w:val="20"/>
          <w:lang w:eastAsia="fr-FR"/>
        </w:rPr>
        <w:t>Thematic knowledge and related experience</w:t>
      </w:r>
      <w:r w:rsidR="00576C8F" w:rsidRPr="00D63A8B">
        <w:rPr>
          <w:rFonts w:ascii="Arial Narrow" w:hAnsi="Arial Narrow" w:cs="Times New Roman"/>
          <w:sz w:val="20"/>
          <w:szCs w:val="20"/>
          <w:lang w:eastAsia="fr-FR"/>
        </w:rPr>
        <w:t xml:space="preserve"> in Roma inclusion</w:t>
      </w:r>
      <w:r w:rsidR="00B41ED3" w:rsidRPr="00D63A8B">
        <w:rPr>
          <w:rFonts w:ascii="Arial Narrow" w:hAnsi="Arial Narrow" w:cs="Times New Roman"/>
          <w:sz w:val="20"/>
          <w:szCs w:val="20"/>
          <w:lang w:eastAsia="fr-FR"/>
        </w:rPr>
        <w:t xml:space="preserve"> field</w:t>
      </w:r>
      <w:r w:rsidR="00576C8F" w:rsidRPr="00D63A8B">
        <w:rPr>
          <w:rFonts w:ascii="Arial Narrow" w:hAnsi="Arial Narrow" w:cs="Times New Roman"/>
          <w:sz w:val="20"/>
          <w:szCs w:val="20"/>
          <w:lang w:eastAsia="fr-FR"/>
        </w:rPr>
        <w:t>: Communities, Policies, Public administration, Access to funding, Social inclusion</w:t>
      </w:r>
      <w:r w:rsidR="00AB77BA" w:rsidRPr="00D63A8B">
        <w:rPr>
          <w:rFonts w:ascii="Arial Narrow" w:hAnsi="Arial Narrow"/>
          <w:color w:val="000000"/>
          <w:sz w:val="20"/>
          <w:szCs w:val="20"/>
        </w:rPr>
        <w:t>;</w:t>
      </w:r>
    </w:p>
    <w:p w14:paraId="3204B06A" w14:textId="24ECDB9E" w:rsidR="00D63A8B" w:rsidRPr="00E17ADF" w:rsidRDefault="00571A31" w:rsidP="00AB77BA">
      <w:pPr>
        <w:numPr>
          <w:ilvl w:val="1"/>
          <w:numId w:val="9"/>
        </w:numPr>
        <w:autoSpaceDE w:val="0"/>
        <w:autoSpaceDN w:val="0"/>
        <w:adjustRightInd w:val="0"/>
        <w:ind w:left="993" w:hanging="284"/>
        <w:jc w:val="both"/>
        <w:rPr>
          <w:rFonts w:ascii="Arial Narrow" w:hAnsi="Arial Narrow"/>
          <w:color w:val="808080"/>
          <w:sz w:val="20"/>
          <w:szCs w:val="20"/>
        </w:rPr>
      </w:pPr>
      <w:r w:rsidRPr="00E17ADF">
        <w:rPr>
          <w:rFonts w:ascii="Arial Narrow" w:hAnsi="Arial Narrow" w:cs="Times New Roman"/>
          <w:sz w:val="20"/>
          <w:szCs w:val="20"/>
        </w:rPr>
        <w:t xml:space="preserve">Experience in and knowledge of the region and local communities and municipalities, among others and not limited to: Aiud, Alesd, Avrig, Blaj, Caransebes, Fagarasi, Gherla, Jibou, </w:t>
      </w:r>
      <w:r w:rsidR="00447EC3">
        <w:rPr>
          <w:rFonts w:ascii="Arial Narrow" w:hAnsi="Arial Narrow" w:cs="Times New Roman"/>
          <w:sz w:val="20"/>
          <w:szCs w:val="20"/>
        </w:rPr>
        <w:t xml:space="preserve">Harlau, Huedin, </w:t>
      </w:r>
      <w:r w:rsidRPr="00E17ADF">
        <w:rPr>
          <w:rFonts w:ascii="Arial Narrow" w:hAnsi="Arial Narrow" w:cs="Times New Roman"/>
          <w:sz w:val="20"/>
          <w:szCs w:val="20"/>
        </w:rPr>
        <w:t xml:space="preserve">Ludus, </w:t>
      </w:r>
      <w:r w:rsidR="00447EC3">
        <w:rPr>
          <w:rFonts w:ascii="Arial Narrow" w:hAnsi="Arial Narrow" w:cs="Times New Roman"/>
          <w:sz w:val="20"/>
          <w:szCs w:val="20"/>
        </w:rPr>
        <w:t xml:space="preserve">Lugoj, Medias, </w:t>
      </w:r>
      <w:r w:rsidRPr="00E17ADF">
        <w:rPr>
          <w:rFonts w:ascii="Arial Narrow" w:hAnsi="Arial Narrow" w:cs="Times New Roman"/>
          <w:sz w:val="20"/>
          <w:szCs w:val="20"/>
        </w:rPr>
        <w:t xml:space="preserve">Nasaud, </w:t>
      </w:r>
      <w:r w:rsidR="00447EC3">
        <w:rPr>
          <w:rFonts w:ascii="Arial Narrow" w:hAnsi="Arial Narrow" w:cs="Times New Roman"/>
          <w:sz w:val="20"/>
          <w:szCs w:val="20"/>
        </w:rPr>
        <w:t xml:space="preserve">Negresti Oas, Resita, </w:t>
      </w:r>
      <w:r w:rsidRPr="00E17ADF">
        <w:rPr>
          <w:rFonts w:ascii="Arial Narrow" w:hAnsi="Arial Narrow" w:cs="Times New Roman"/>
          <w:sz w:val="20"/>
          <w:szCs w:val="20"/>
        </w:rPr>
        <w:t xml:space="preserve">Sighisoara, </w:t>
      </w:r>
      <w:r w:rsidR="00447EC3">
        <w:rPr>
          <w:rFonts w:ascii="Arial Narrow" w:hAnsi="Arial Narrow" w:cs="Times New Roman"/>
          <w:sz w:val="20"/>
          <w:szCs w:val="20"/>
        </w:rPr>
        <w:t xml:space="preserve">Simleu Sivanei, Targu Frumos, Targu Jiu, Tarnaveni, </w:t>
      </w:r>
      <w:r w:rsidRPr="00E17ADF">
        <w:rPr>
          <w:rFonts w:ascii="Arial Narrow" w:hAnsi="Arial Narrow" w:cs="Times New Roman"/>
          <w:sz w:val="20"/>
          <w:szCs w:val="20"/>
        </w:rPr>
        <w:t>Timisoara</w:t>
      </w:r>
      <w:r w:rsidR="00447EC3">
        <w:rPr>
          <w:rFonts w:ascii="Arial Narrow" w:hAnsi="Arial Narrow" w:cs="Times New Roman"/>
          <w:sz w:val="20"/>
          <w:szCs w:val="20"/>
        </w:rPr>
        <w:t>, Turda, Ocna Mures, Sacele, Vulcan</w:t>
      </w:r>
      <w:bookmarkStart w:id="1" w:name="_GoBack"/>
      <w:bookmarkEnd w:id="1"/>
      <w:r w:rsidRPr="00E17ADF">
        <w:rPr>
          <w:rFonts w:ascii="Arial Narrow" w:hAnsi="Arial Narrow" w:cs="Times New Roman"/>
          <w:sz w:val="20"/>
          <w:szCs w:val="20"/>
        </w:rPr>
        <w:t>;</w:t>
      </w:r>
    </w:p>
    <w:p w14:paraId="520AB746" w14:textId="78F0A513" w:rsidR="00AE1FED" w:rsidRPr="00D63A8B" w:rsidRDefault="00AE1FED" w:rsidP="00AB77BA">
      <w:pPr>
        <w:numPr>
          <w:ilvl w:val="1"/>
          <w:numId w:val="9"/>
        </w:numPr>
        <w:autoSpaceDE w:val="0"/>
        <w:autoSpaceDN w:val="0"/>
        <w:adjustRightInd w:val="0"/>
        <w:ind w:left="993" w:hanging="284"/>
        <w:jc w:val="both"/>
        <w:rPr>
          <w:rFonts w:ascii="Arial Narrow" w:hAnsi="Arial Narrow"/>
          <w:color w:val="808080"/>
          <w:sz w:val="20"/>
          <w:szCs w:val="20"/>
        </w:rPr>
      </w:pPr>
      <w:r w:rsidRPr="00D63A8B">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A detailed CV, preferably in Europ</w:t>
      </w:r>
      <w:r w:rsidR="00171C1F">
        <w:rPr>
          <w:rFonts w:ascii="Arial Narrow" w:hAnsi="Arial Narrow"/>
          <w:sz w:val="20"/>
          <w:szCs w:val="20"/>
        </w:rPr>
        <w:t>ass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D3799" w14:textId="77777777" w:rsidR="002F0485" w:rsidRDefault="002F0485" w:rsidP="00D50F13">
      <w:r>
        <w:separator/>
      </w:r>
    </w:p>
  </w:endnote>
  <w:endnote w:type="continuationSeparator" w:id="0">
    <w:p w14:paraId="7EBBCBB7" w14:textId="77777777" w:rsidR="002F0485" w:rsidRDefault="002F048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FA7C9" w14:textId="77777777" w:rsidR="002F0485" w:rsidRDefault="002F0485" w:rsidP="00D50F13">
      <w:r>
        <w:separator/>
      </w:r>
    </w:p>
  </w:footnote>
  <w:footnote w:type="continuationSeparator" w:id="0">
    <w:p w14:paraId="093E0DFE" w14:textId="77777777" w:rsidR="002F0485" w:rsidRDefault="002F0485"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547B5"/>
    <w:rsid w:val="00160002"/>
    <w:rsid w:val="001602AD"/>
    <w:rsid w:val="00171C1F"/>
    <w:rsid w:val="00181DF8"/>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45F8"/>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F0485"/>
    <w:rsid w:val="002F618C"/>
    <w:rsid w:val="003040DB"/>
    <w:rsid w:val="00314848"/>
    <w:rsid w:val="0031608E"/>
    <w:rsid w:val="00320711"/>
    <w:rsid w:val="00332AF4"/>
    <w:rsid w:val="003363E8"/>
    <w:rsid w:val="00357E5A"/>
    <w:rsid w:val="00361CEB"/>
    <w:rsid w:val="003670B2"/>
    <w:rsid w:val="003712F2"/>
    <w:rsid w:val="003758A4"/>
    <w:rsid w:val="00377AA1"/>
    <w:rsid w:val="00386026"/>
    <w:rsid w:val="0039258A"/>
    <w:rsid w:val="003B15DD"/>
    <w:rsid w:val="003B1C2E"/>
    <w:rsid w:val="003B2E7E"/>
    <w:rsid w:val="003E3863"/>
    <w:rsid w:val="003F2082"/>
    <w:rsid w:val="003F7D5B"/>
    <w:rsid w:val="004057DD"/>
    <w:rsid w:val="00407E01"/>
    <w:rsid w:val="00415A8D"/>
    <w:rsid w:val="00420E9A"/>
    <w:rsid w:val="00441672"/>
    <w:rsid w:val="00447EC3"/>
    <w:rsid w:val="004575D4"/>
    <w:rsid w:val="004665F8"/>
    <w:rsid w:val="0048158D"/>
    <w:rsid w:val="00483396"/>
    <w:rsid w:val="00486FC6"/>
    <w:rsid w:val="004874F6"/>
    <w:rsid w:val="00490018"/>
    <w:rsid w:val="00492E58"/>
    <w:rsid w:val="004A5E49"/>
    <w:rsid w:val="004B0F2D"/>
    <w:rsid w:val="004B2022"/>
    <w:rsid w:val="004C642E"/>
    <w:rsid w:val="004C6C10"/>
    <w:rsid w:val="004D084E"/>
    <w:rsid w:val="004D2A12"/>
    <w:rsid w:val="004E4886"/>
    <w:rsid w:val="004E796F"/>
    <w:rsid w:val="004E7A45"/>
    <w:rsid w:val="004E7D01"/>
    <w:rsid w:val="004F71A4"/>
    <w:rsid w:val="00500D73"/>
    <w:rsid w:val="005034A5"/>
    <w:rsid w:val="00505408"/>
    <w:rsid w:val="00510F03"/>
    <w:rsid w:val="00512D89"/>
    <w:rsid w:val="00532234"/>
    <w:rsid w:val="00552F0E"/>
    <w:rsid w:val="00563B1B"/>
    <w:rsid w:val="00567F3E"/>
    <w:rsid w:val="00571A31"/>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5694"/>
    <w:rsid w:val="006912CB"/>
    <w:rsid w:val="006B2D7D"/>
    <w:rsid w:val="006C0B9C"/>
    <w:rsid w:val="006C4296"/>
    <w:rsid w:val="006D06D4"/>
    <w:rsid w:val="006F5EED"/>
    <w:rsid w:val="00700F44"/>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54BC"/>
    <w:rsid w:val="008166AD"/>
    <w:rsid w:val="0082549E"/>
    <w:rsid w:val="0083377F"/>
    <w:rsid w:val="00834E5C"/>
    <w:rsid w:val="00840C1E"/>
    <w:rsid w:val="00867184"/>
    <w:rsid w:val="0087377F"/>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90030D"/>
    <w:rsid w:val="00904764"/>
    <w:rsid w:val="00904B93"/>
    <w:rsid w:val="009058FD"/>
    <w:rsid w:val="00917A32"/>
    <w:rsid w:val="009215CD"/>
    <w:rsid w:val="00941247"/>
    <w:rsid w:val="009441E3"/>
    <w:rsid w:val="0095095F"/>
    <w:rsid w:val="00955D56"/>
    <w:rsid w:val="00975B57"/>
    <w:rsid w:val="00986790"/>
    <w:rsid w:val="00990987"/>
    <w:rsid w:val="009A0D0F"/>
    <w:rsid w:val="009A20EC"/>
    <w:rsid w:val="009A484E"/>
    <w:rsid w:val="009A66A9"/>
    <w:rsid w:val="009B1E00"/>
    <w:rsid w:val="009D3969"/>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461F"/>
    <w:rsid w:val="00A85379"/>
    <w:rsid w:val="00A91875"/>
    <w:rsid w:val="00A93F2C"/>
    <w:rsid w:val="00A96316"/>
    <w:rsid w:val="00A96A37"/>
    <w:rsid w:val="00AA0A6C"/>
    <w:rsid w:val="00AA6E9D"/>
    <w:rsid w:val="00AB13EF"/>
    <w:rsid w:val="00AB2010"/>
    <w:rsid w:val="00AB41C4"/>
    <w:rsid w:val="00AB77BA"/>
    <w:rsid w:val="00AD33C7"/>
    <w:rsid w:val="00AD423A"/>
    <w:rsid w:val="00AD680C"/>
    <w:rsid w:val="00AE1FED"/>
    <w:rsid w:val="00AE5507"/>
    <w:rsid w:val="00AF5D9D"/>
    <w:rsid w:val="00AF6B9D"/>
    <w:rsid w:val="00B016C7"/>
    <w:rsid w:val="00B040C5"/>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96135"/>
    <w:rsid w:val="00BA535D"/>
    <w:rsid w:val="00BA6521"/>
    <w:rsid w:val="00BA7B96"/>
    <w:rsid w:val="00BB0487"/>
    <w:rsid w:val="00BB457B"/>
    <w:rsid w:val="00BB5732"/>
    <w:rsid w:val="00BB66CF"/>
    <w:rsid w:val="00BD09D0"/>
    <w:rsid w:val="00BD2F62"/>
    <w:rsid w:val="00BD637E"/>
    <w:rsid w:val="00BE33D8"/>
    <w:rsid w:val="00BE3BB0"/>
    <w:rsid w:val="00BE5BB1"/>
    <w:rsid w:val="00C047CC"/>
    <w:rsid w:val="00C10B8B"/>
    <w:rsid w:val="00C26147"/>
    <w:rsid w:val="00C262BE"/>
    <w:rsid w:val="00C26461"/>
    <w:rsid w:val="00C31F4B"/>
    <w:rsid w:val="00C32CF2"/>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1AFF"/>
    <w:rsid w:val="00C950BE"/>
    <w:rsid w:val="00CA4416"/>
    <w:rsid w:val="00CA6E6F"/>
    <w:rsid w:val="00CB3508"/>
    <w:rsid w:val="00CD061B"/>
    <w:rsid w:val="00CE5F13"/>
    <w:rsid w:val="00CE74C4"/>
    <w:rsid w:val="00CE7D0D"/>
    <w:rsid w:val="00CF78C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63A8B"/>
    <w:rsid w:val="00D70489"/>
    <w:rsid w:val="00D73100"/>
    <w:rsid w:val="00D74425"/>
    <w:rsid w:val="00D74BC9"/>
    <w:rsid w:val="00D80DA4"/>
    <w:rsid w:val="00D83EB0"/>
    <w:rsid w:val="00D914AC"/>
    <w:rsid w:val="00DB6765"/>
    <w:rsid w:val="00DC45E9"/>
    <w:rsid w:val="00DC6283"/>
    <w:rsid w:val="00DE0239"/>
    <w:rsid w:val="00E00310"/>
    <w:rsid w:val="00E02D10"/>
    <w:rsid w:val="00E05158"/>
    <w:rsid w:val="00E11E01"/>
    <w:rsid w:val="00E160F4"/>
    <w:rsid w:val="00E17ADF"/>
    <w:rsid w:val="00E2721D"/>
    <w:rsid w:val="00E3231F"/>
    <w:rsid w:val="00E334D9"/>
    <w:rsid w:val="00E507A1"/>
    <w:rsid w:val="00E519E1"/>
    <w:rsid w:val="00E5607D"/>
    <w:rsid w:val="00E56FDA"/>
    <w:rsid w:val="00E632AE"/>
    <w:rsid w:val="00E63CA3"/>
    <w:rsid w:val="00E65BB4"/>
    <w:rsid w:val="00E71E62"/>
    <w:rsid w:val="00E9201C"/>
    <w:rsid w:val="00E971F9"/>
    <w:rsid w:val="00EA0241"/>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54155"/>
    <w:rsid w:val="001A193A"/>
    <w:rsid w:val="001A7B9B"/>
    <w:rsid w:val="001B1612"/>
    <w:rsid w:val="0024768C"/>
    <w:rsid w:val="003148FF"/>
    <w:rsid w:val="00390013"/>
    <w:rsid w:val="003B24CE"/>
    <w:rsid w:val="00452619"/>
    <w:rsid w:val="005A012A"/>
    <w:rsid w:val="00646ADE"/>
    <w:rsid w:val="006F6779"/>
    <w:rsid w:val="00700DCC"/>
    <w:rsid w:val="00807683"/>
    <w:rsid w:val="00811EA3"/>
    <w:rsid w:val="008871DF"/>
    <w:rsid w:val="009170FF"/>
    <w:rsid w:val="009216B9"/>
    <w:rsid w:val="00933FDC"/>
    <w:rsid w:val="009574C2"/>
    <w:rsid w:val="009963A2"/>
    <w:rsid w:val="009E4A0F"/>
    <w:rsid w:val="00A26CAD"/>
    <w:rsid w:val="00AF106A"/>
    <w:rsid w:val="00B05E45"/>
    <w:rsid w:val="00C27B37"/>
    <w:rsid w:val="00C67F51"/>
    <w:rsid w:val="00C8274C"/>
    <w:rsid w:val="00C908D8"/>
    <w:rsid w:val="00D30CA9"/>
    <w:rsid w:val="00D626CA"/>
    <w:rsid w:val="00DE526F"/>
    <w:rsid w:val="00EA2D0B"/>
    <w:rsid w:val="00EC7579"/>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6F9F0-FD3A-40E4-9C2F-9CB21BE2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10</cp:revision>
  <cp:lastPrinted>2016-10-07T09:25:00Z</cp:lastPrinted>
  <dcterms:created xsi:type="dcterms:W3CDTF">2016-12-15T15:29:00Z</dcterms:created>
  <dcterms:modified xsi:type="dcterms:W3CDTF">2016-12-15T16:07:00Z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