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F4" w:rsidRDefault="00720BF4" w:rsidP="00720BF4">
      <w:pPr>
        <w:autoSpaceDE w:val="0"/>
        <w:autoSpaceDN w:val="0"/>
        <w:adjustRightInd w:val="0"/>
        <w:spacing w:after="0" w:line="240" w:lineRule="auto"/>
        <w:rPr>
          <w:rFonts w:ascii="Courier New" w:hAnsi="Courier New" w:cs="Courier New"/>
          <w:lang w:val="en-US"/>
        </w:rPr>
      </w:pPr>
      <w:r>
        <w:rPr>
          <w:rFonts w:ascii="Courier New" w:hAnsi="Courier New" w:cs="Courier New"/>
          <w:b/>
          <w:bCs/>
          <w:color w:val="0000FF"/>
          <w:lang w:val="en-US"/>
        </w:rPr>
        <w:t>LEGE nr. 17 din 6 martie 2000 (**republicată**)</w:t>
      </w:r>
    </w:p>
    <w:p w:rsidR="00720BF4" w:rsidRDefault="00720BF4" w:rsidP="00720BF4">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privind asistenţa socială a persoanelor vârstnice**)</w:t>
      </w:r>
    </w:p>
    <w:p w:rsidR="00720BF4" w:rsidRDefault="00720BF4" w:rsidP="00720BF4">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PARLAMENTUL</w:t>
      </w:r>
    </w:p>
    <w:p w:rsidR="00720BF4" w:rsidRDefault="00720BF4" w:rsidP="00720BF4">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157 din 6 martie 2007</w:t>
      </w:r>
    </w:p>
    <w:p w:rsidR="00720BF4" w:rsidRDefault="00720BF4" w:rsidP="00720BF4">
      <w:pPr>
        <w:autoSpaceDE w:val="0"/>
        <w:autoSpaceDN w:val="0"/>
        <w:adjustRightInd w:val="0"/>
        <w:spacing w:after="0" w:line="240" w:lineRule="auto"/>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6 martie 2007</w:t>
      </w:r>
    </w:p>
    <w:p w:rsidR="00720BF4" w:rsidRDefault="00720BF4" w:rsidP="00720BF4">
      <w:pPr>
        <w:autoSpaceDE w:val="0"/>
        <w:autoSpaceDN w:val="0"/>
        <w:adjustRightInd w:val="0"/>
        <w:spacing w:after="0" w:line="240" w:lineRule="auto"/>
        <w:rPr>
          <w:rFonts w:ascii="Courier New" w:hAnsi="Courier New" w:cs="Courier New"/>
          <w:lang w:val="en-US"/>
        </w:rPr>
      </w:pPr>
    </w:p>
    <w:p w:rsidR="00720BF4" w:rsidRDefault="00720BF4" w:rsidP="00720BF4">
      <w:pPr>
        <w:autoSpaceDE w:val="0"/>
        <w:autoSpaceDN w:val="0"/>
        <w:adjustRightInd w:val="0"/>
        <w:spacing w:after="0" w:line="240" w:lineRule="auto"/>
        <w:rPr>
          <w:rFonts w:ascii="Courier New" w:hAnsi="Courier New" w:cs="Courier New"/>
          <w:lang w:val="en-US"/>
        </w:rPr>
      </w:pPr>
    </w:p>
    <w:p w:rsidR="00720BF4" w:rsidRDefault="00720BF4" w:rsidP="00720BF4">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w:t>
      </w:r>
      <w:bookmarkStart w:id="0" w:name="_GoBack"/>
      <w:r>
        <w:rPr>
          <w:rFonts w:ascii="Courier New" w:hAnsi="Courier New" w:cs="Courier New"/>
          <w:lang w:val="en-US"/>
        </w:rPr>
        <w:t>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Forma consolidată a </w:t>
      </w:r>
      <w:r>
        <w:rPr>
          <w:rFonts w:ascii="Courier New" w:hAnsi="Courier New" w:cs="Courier New"/>
          <w:vanish/>
          <w:lang w:val="en-US"/>
        </w:rPr>
        <w:t>&lt;LLNK 12000    17 13 241   0 17&gt;</w:t>
      </w:r>
      <w:r>
        <w:rPr>
          <w:rFonts w:ascii="Courier New" w:hAnsi="Courier New" w:cs="Courier New"/>
          <w:color w:val="0000FF"/>
          <w:u w:val="single"/>
          <w:lang w:val="en-US"/>
        </w:rPr>
        <w:t>LEGII nr. 17/2000</w:t>
      </w:r>
      <w:r>
        <w:rPr>
          <w:rFonts w:ascii="Courier New" w:hAnsi="Courier New" w:cs="Courier New"/>
          <w:lang w:val="en-US"/>
        </w:rPr>
        <w:t xml:space="preserve">, (Rep. 1) din Monitorul Oficial nr. 157 din 6 martie 2007, la data de 20 ianuarie 2018 este realizată prin includerea modificărilor şi completărilor aduse de: </w:t>
      </w:r>
      <w:r>
        <w:rPr>
          <w:rFonts w:ascii="Courier New" w:hAnsi="Courier New" w:cs="Courier New"/>
          <w:vanish/>
          <w:lang w:val="en-US"/>
        </w:rPr>
        <w:t>&lt;LLNK 12008   118180 301   0 49&gt;</w:t>
      </w:r>
      <w:r>
        <w:rPr>
          <w:rFonts w:ascii="Courier New" w:hAnsi="Courier New" w:cs="Courier New"/>
          <w:color w:val="0000FF"/>
          <w:u w:val="single"/>
          <w:lang w:val="en-US"/>
        </w:rPr>
        <w:t>ORDONANŢA DE URGENŢĂ nr. 118 din 1 octombrie 2008</w:t>
      </w:r>
      <w:r>
        <w:rPr>
          <w:rFonts w:ascii="Courier New" w:hAnsi="Courier New" w:cs="Courier New"/>
          <w:lang w:val="en-US"/>
        </w:rPr>
        <w:t xml:space="preserve">; </w:t>
      </w:r>
      <w:r>
        <w:rPr>
          <w:rFonts w:ascii="Courier New" w:hAnsi="Courier New" w:cs="Courier New"/>
          <w:vanish/>
          <w:lang w:val="en-US"/>
        </w:rPr>
        <w:t>&lt;LLNK 12008   270 10 201   0 34&gt;</w:t>
      </w:r>
      <w:r>
        <w:rPr>
          <w:rFonts w:ascii="Courier New" w:hAnsi="Courier New" w:cs="Courier New"/>
          <w:color w:val="0000FF"/>
          <w:u w:val="single"/>
          <w:lang w:val="en-US"/>
        </w:rPr>
        <w:t>LEGEA nr. 270 din 7 noiembrie 2008</w:t>
      </w:r>
      <w:r>
        <w:rPr>
          <w:rFonts w:ascii="Courier New" w:hAnsi="Courier New" w:cs="Courier New"/>
          <w:lang w:val="en-US"/>
        </w:rPr>
        <w:t xml:space="preserve">; </w:t>
      </w:r>
      <w:r>
        <w:rPr>
          <w:rFonts w:ascii="Courier New" w:hAnsi="Courier New" w:cs="Courier New"/>
          <w:vanish/>
          <w:lang w:val="en-US"/>
        </w:rPr>
        <w:t>&lt;LLNK 12010    43180 301   0 42&gt;</w:t>
      </w:r>
      <w:r>
        <w:rPr>
          <w:rFonts w:ascii="Courier New" w:hAnsi="Courier New" w:cs="Courier New"/>
          <w:color w:val="0000FF"/>
          <w:u w:val="single"/>
          <w:lang w:val="en-US"/>
        </w:rPr>
        <w:t>ORDONANŢA DE URGENŢĂ nr. 43 din 5 mai 2010</w:t>
      </w:r>
      <w:r>
        <w:rPr>
          <w:rFonts w:ascii="Courier New" w:hAnsi="Courier New" w:cs="Courier New"/>
          <w:lang w:val="en-US"/>
        </w:rPr>
        <w:t xml:space="preserve">; </w:t>
      </w:r>
      <w:r>
        <w:rPr>
          <w:rFonts w:ascii="Courier New" w:hAnsi="Courier New" w:cs="Courier New"/>
          <w:vanish/>
          <w:lang w:val="en-US"/>
        </w:rPr>
        <w:t>&lt;LLNK 12015   978 20 301   0 39&gt;</w:t>
      </w:r>
      <w:r>
        <w:rPr>
          <w:rFonts w:ascii="Courier New" w:hAnsi="Courier New" w:cs="Courier New"/>
          <w:color w:val="0000FF"/>
          <w:u w:val="single"/>
          <w:lang w:val="en-US"/>
        </w:rPr>
        <w:t>HOTĂRÂREA nr. 978 din 16 decembrie 2015</w:t>
      </w:r>
      <w:r>
        <w:rPr>
          <w:rFonts w:ascii="Courier New" w:hAnsi="Courier New" w:cs="Courier New"/>
          <w:lang w:val="en-US"/>
        </w:rPr>
        <w:t xml:space="preserve">; </w:t>
      </w:r>
      <w:r>
        <w:rPr>
          <w:rFonts w:ascii="Courier New" w:hAnsi="Courier New" w:cs="Courier New"/>
          <w:vanish/>
          <w:lang w:val="en-US"/>
        </w:rPr>
        <w:t>&lt;LLNK 12016    34180 301   0 45&gt;</w:t>
      </w:r>
      <w:r>
        <w:rPr>
          <w:rFonts w:ascii="Courier New" w:hAnsi="Courier New" w:cs="Courier New"/>
          <w:color w:val="0000FF"/>
          <w:u w:val="single"/>
          <w:lang w:val="en-US"/>
        </w:rPr>
        <w:t>ORDONANŢA DE URGENŢĂ nr. 34 din 28 iunie 2016</w:t>
      </w:r>
      <w:r>
        <w:rPr>
          <w:rFonts w:ascii="Courier New" w:hAnsi="Courier New" w:cs="Courier New"/>
          <w:lang w:val="en-US"/>
        </w:rPr>
        <w:t xml:space="preserve">; </w:t>
      </w:r>
      <w:r>
        <w:rPr>
          <w:rFonts w:ascii="Courier New" w:hAnsi="Courier New" w:cs="Courier New"/>
          <w:vanish/>
          <w:lang w:val="en-US"/>
        </w:rPr>
        <w:t>&lt;LLNK 12018    19 10 201   0 33&gt;</w:t>
      </w:r>
      <w:r>
        <w:rPr>
          <w:rFonts w:ascii="Courier New" w:hAnsi="Courier New" w:cs="Courier New"/>
          <w:color w:val="0000FF"/>
          <w:u w:val="single"/>
          <w:lang w:val="en-US"/>
        </w:rPr>
        <w:t>LEGEA nr. 19 din 12 ianuarie 2018</w:t>
      </w: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Conţinutul acestui act aparţine exclusiv S.C. Centrul Teritorial de Calcul Electronic S.A. Piatra-Neamţ şi nu este un document cu caracter oficial, fiind destinat informării utilizatorilor.</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Republicată în temeiul dispoziţiilor </w:t>
      </w:r>
      <w:r>
        <w:rPr>
          <w:rFonts w:ascii="Courier New" w:hAnsi="Courier New" w:cs="Courier New"/>
          <w:vanish/>
          <w:lang w:val="en-US"/>
        </w:rPr>
        <w:t>&lt;LLNK 12006   281 10 201   0 30&gt;</w:t>
      </w:r>
      <w:r>
        <w:rPr>
          <w:rFonts w:ascii="Courier New" w:hAnsi="Courier New" w:cs="Courier New"/>
          <w:color w:val="0000FF"/>
          <w:u w:val="single"/>
          <w:lang w:val="en-US"/>
        </w:rPr>
        <w:t>art. II din Legea nr. 281/2006</w:t>
      </w:r>
      <w:r>
        <w:rPr>
          <w:rFonts w:ascii="Courier New" w:hAnsi="Courier New" w:cs="Courier New"/>
          <w:lang w:val="en-US"/>
        </w:rPr>
        <w:t xml:space="preserve"> pentru modificarea şi completarea </w:t>
      </w:r>
      <w:r>
        <w:rPr>
          <w:rFonts w:ascii="Courier New" w:hAnsi="Courier New" w:cs="Courier New"/>
          <w:vanish/>
          <w:lang w:val="en-US"/>
        </w:rPr>
        <w:t>&lt;LLNK 12000    17 11 201   0 17&gt;</w:t>
      </w:r>
      <w:r>
        <w:rPr>
          <w:rFonts w:ascii="Courier New" w:hAnsi="Courier New" w:cs="Courier New"/>
          <w:color w:val="0000FF"/>
          <w:u w:val="single"/>
          <w:lang w:val="en-US"/>
        </w:rPr>
        <w:t>Legii nr. 17/2000</w:t>
      </w:r>
      <w:r>
        <w:rPr>
          <w:rFonts w:ascii="Courier New" w:hAnsi="Courier New" w:cs="Courier New"/>
          <w:lang w:val="en-US"/>
        </w:rPr>
        <w:t xml:space="preserve"> privind asistenţa socială a persoanelor vârstnice, publicată în Monitorul Oficial al României, Partea I, nr. 600 din 11 iulie 2006.</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Pr>
          <w:rFonts w:ascii="Courier New" w:hAnsi="Courier New" w:cs="Courier New"/>
          <w:vanish/>
          <w:lang w:val="en-US"/>
        </w:rPr>
        <w:t>&lt;LLNK 12000    17 10 201   0 17&gt;</w:t>
      </w:r>
      <w:r>
        <w:rPr>
          <w:rFonts w:ascii="Courier New" w:hAnsi="Courier New" w:cs="Courier New"/>
          <w:color w:val="0000FF"/>
          <w:u w:val="single"/>
          <w:lang w:val="en-US"/>
        </w:rPr>
        <w:t>Legea nr. 17/2000</w:t>
      </w:r>
      <w:r>
        <w:rPr>
          <w:rFonts w:ascii="Courier New" w:hAnsi="Courier New" w:cs="Courier New"/>
          <w:lang w:val="en-US"/>
        </w:rPr>
        <w:t xml:space="preserve"> a fost publicată în Monitorul Oficial al României, Partea I, nr. 104 din 9 martie 2000.</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generale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Persoanele vârstnice au dreptul la asistenţă socială, potrivit dispoziţiilor prezentei legi, în raport cu situaţia sociomedicală şi cu resursele economice de care dispun.</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Măsurile de asistenţă socială prevăzute de prezenta lege sunt complementare celor reglementate prin sistemul asigurărilor sociale.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Persoanele vârstnice care beneficiază de asistenţă socială au dreptul şi la alte forme de protecţie socială, în condiţiile legii.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Sunt considerate persoane vârstnice, în sensul prezentei legi, persoanele care au împlinit vârsta de pensionare stabilită de lege.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Asistenţa socială pentru persoanele vârstnice se realizează prin servicii şi prestaţii sociale.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Beneficiază de prevederile prezentei legi persoana vârstnică, definită la art. 1 alin. (4), care se găseşte în una dintre următoarele situaţii: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nu are familie sau nu se află în întreţinerea unei sau unor persoane obligate la aceasta, potrivit dispoziţiilor legale în vigoare;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lastRenderedPageBreak/>
        <w:t xml:space="preserve">    b) nu are locuinţă şi nici posibilitatea de a-şi asigura condiţiile de locuit pe baza resurselor proprii;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nu realizează venituri proprii sau acestea nu sunt suficiente pentru asigurarea îngrijirii necesare;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nu se poate gospodări singură sau necesită îngrijire specializată;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se află în imposibilitatea de a-şi asigura nevoile sociomedicale, datorită bolii ori stării fizice sau psihice.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Servicii şi prestaţii sociale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Evaluarea situaţiei persoanelor vârstnice care necesită asistenţă socială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Nevoile persoanelor vârstnice se evaluează prin anchetă socială care se elaborează pe baza datelor cu privire la afecţiunile ce necesită îngrijire specială, capacitatea de a se gospodări şi de a îndeplini cerinţele fireşti ale vieţii cotidiene, condiţiile de locuit, precum şi veniturile efective sau potenţiale considerate minime pentru asigurarea satisfacerii nevoilor curente ale vieţii.</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Nevoile persoanelor vârstnice aflate în situaţia de pierdere totală sau parţială a autonomiei, care pot fi de natură medicală, sociomedicală, psihoafectivă, se stabilesc pe baza grilei naţionale de evaluare a nevoilor persoanelor vârstnice, care prevede criteriile de încadrare în grade de dependenţă.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Grila naţională de evaluare a nevoilor persoanelor vârstnice se aprobă prin hotărâre a Guvernului, la propunerea Ministerului Muncii, Familiei şi Protecţiei Sociale**) şi a Ministerului Sănătăţii**).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Grila naţională de evaluare a nevoilor persoanelor vârstnice a fost aprobată prin </w:t>
      </w:r>
      <w:r>
        <w:rPr>
          <w:rFonts w:ascii="Courier New" w:hAnsi="Courier New" w:cs="Courier New"/>
          <w:vanish/>
          <w:lang w:val="en-US"/>
        </w:rPr>
        <w:t>&lt;LLNK 12000   886 20 301   0 33&gt;</w:t>
      </w:r>
      <w:r>
        <w:rPr>
          <w:rFonts w:ascii="Courier New" w:hAnsi="Courier New" w:cs="Courier New"/>
          <w:color w:val="0000FF"/>
          <w:u w:val="single"/>
          <w:lang w:val="en-US"/>
        </w:rPr>
        <w:t>Hotărârea Guvernului nr. 886/2000</w:t>
      </w:r>
      <w:r>
        <w:rPr>
          <w:rFonts w:ascii="Courier New" w:hAnsi="Courier New" w:cs="Courier New"/>
          <w:lang w:val="en-US"/>
        </w:rPr>
        <w:t>, publicată în Monitorul Oficial al României, Partea I, nr. 507 din 16 octombrie 2000.</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Grila naţională de evaluare a nevoilor persoanelor vârstnice poate fi revizuită anual şi, în mod obligatoriu, o dată la 3 ani.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12007   381 20 301   0 37&gt;</w:t>
      </w:r>
      <w:r>
        <w:rPr>
          <w:rFonts w:ascii="Courier New" w:hAnsi="Courier New" w:cs="Courier New"/>
          <w:color w:val="0000FF"/>
          <w:u w:val="single"/>
          <w:lang w:val="en-US"/>
        </w:rPr>
        <w:t>HOTĂRÂREA nr. 381 din 25 aprilie 2007</w:t>
      </w:r>
      <w:r>
        <w:rPr>
          <w:rFonts w:ascii="Courier New" w:hAnsi="Courier New" w:cs="Courier New"/>
          <w:lang w:val="en-US"/>
        </w:rPr>
        <w:t xml:space="preserve">, publicată în MONITORUL OFICIAL nr. 287 din 2 mai 2007 s-a dispus organizarea şi funcţionarea Ministerului Muncii, Familiei şi Egalităţii de Şanse. </w:t>
      </w:r>
      <w:r>
        <w:rPr>
          <w:rFonts w:ascii="Courier New" w:hAnsi="Courier New" w:cs="Courier New"/>
          <w:vanish/>
          <w:lang w:val="en-US"/>
        </w:rPr>
        <w:t>&lt;LLNK 12007   381 20 301   0 37&gt;</w:t>
      </w:r>
      <w:r>
        <w:rPr>
          <w:rFonts w:ascii="Courier New" w:hAnsi="Courier New" w:cs="Courier New"/>
          <w:color w:val="0000FF"/>
          <w:u w:val="single"/>
          <w:lang w:val="en-US"/>
        </w:rPr>
        <w:t>HOTĂRÂREA nr. 381 din 25 aprilie 2007</w:t>
      </w:r>
      <w:r>
        <w:rPr>
          <w:rFonts w:ascii="Courier New" w:hAnsi="Courier New" w:cs="Courier New"/>
          <w:lang w:val="en-US"/>
        </w:rPr>
        <w:t xml:space="preserve">, publicată în MONITORUL OFICIAL nr. 287 din 2 mai 2007 a fost abrogată de </w:t>
      </w:r>
      <w:r>
        <w:rPr>
          <w:rFonts w:ascii="Courier New" w:hAnsi="Courier New" w:cs="Courier New"/>
          <w:vanish/>
          <w:lang w:val="en-US"/>
        </w:rPr>
        <w:t>&lt;LLNK 12009    11 20 301   0 37&gt;</w:t>
      </w:r>
      <w:r>
        <w:rPr>
          <w:rFonts w:ascii="Courier New" w:hAnsi="Courier New" w:cs="Courier New"/>
          <w:color w:val="0000FF"/>
          <w:u w:val="single"/>
          <w:lang w:val="en-US"/>
        </w:rPr>
        <w:t>HOTĂRÂREA nr. 11 din 16 ianuarie 2009</w:t>
      </w:r>
      <w:r>
        <w:rPr>
          <w:rFonts w:ascii="Courier New" w:hAnsi="Courier New" w:cs="Courier New"/>
          <w:lang w:val="en-US"/>
        </w:rPr>
        <w:t>, publicată în MONITORUL OFICIAL nr. 41 din 23 ianuarie 2009 prin care s-a dispus organizarea şi funcţionarea Ministerului Muncii, Familiei şi Protecţiei Sociale.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12008  1718 20 301   0 41&gt;</w:t>
      </w:r>
      <w:r>
        <w:rPr>
          <w:rFonts w:ascii="Courier New" w:hAnsi="Courier New" w:cs="Courier New"/>
          <w:color w:val="0000FF"/>
          <w:u w:val="single"/>
          <w:lang w:val="en-US"/>
        </w:rPr>
        <w:t>HOTĂRÂREA nr. 1.718 din 30 decembrie 2008</w:t>
      </w:r>
      <w:r>
        <w:rPr>
          <w:rFonts w:ascii="Courier New" w:hAnsi="Courier New" w:cs="Courier New"/>
          <w:lang w:val="en-US"/>
        </w:rPr>
        <w:t>, publicată în MONITORUL OFICIAL nr. 5 din 6 ianuarie 2009 s-a dispus organizarea şi funcţionarea Ministerului Sănătăţii. Înlocuirea denumirii s-a realizat direct în textul formei actualizate.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2-a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Servicii comunitare pentru persoanele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Serviciile comunitare pentru persoanele vârstnice care se găsesc în situaţiile prevăzute la art. 3 se realizează cu consimţământul acestora şi au în vedere: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îngrijirea temporară sau permanentă la domiciliu;</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îngrijirea temporară sau permanentă într-un cămin pentru persoane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îngrijirea în centre de zi, cluburi pentru vârstnici, case de îngrijire temporară, apartamente şi locuinţe sociale, precum şi altele asemenea.</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În situaţia în care starea de sănătate a persoanei vârstnice nu permite obţinerea consimţământului acesteia, pentru acordarea îngrijirilor prevăzute la alin. (1), decizia se ia de serviciul public de asistenţă socială al autorităţii administraţiei publice locale unde are domiciliul sau reşedinţa persoana vârstnică, pe baza anchetei sociale şi a recomandărilor medicale făcute de medicul de familie, prin consultarea şi a medicului specialist, cu acceptul rudelor de gradul I ale persoanei respective sau, în lipsa acestora, cu acceptul unui alt membru de familie.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(2) din Articolul 7 , Sectiunea a 2-a , Capitolul II  a fost modificat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decesului persoanei vârstnice lipsite de susţinători legali sau când aceştia nu pot să îşi îndeplinească obligaţiile familiale datorită stării de sănătate sau situaţiei economice precare, serviciile comunitare asigură înmormântarea.</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Serviciile comunitare asigurate persoanelor vârstnice la domiciliu sunt: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servicii de îngrijire personală prevăzute la </w:t>
      </w:r>
      <w:r>
        <w:rPr>
          <w:rFonts w:ascii="Courier New" w:hAnsi="Courier New" w:cs="Courier New"/>
          <w:vanish/>
          <w:color w:val="0000FF"/>
          <w:lang w:val="en-US"/>
        </w:rPr>
        <w:t>&lt;LLNK 12011   292 12 232  31  7&gt;</w:t>
      </w:r>
      <w:r>
        <w:rPr>
          <w:rFonts w:ascii="Courier New" w:hAnsi="Courier New" w:cs="Courier New"/>
          <w:color w:val="0000FF"/>
          <w:u w:val="single"/>
          <w:lang w:val="en-US"/>
        </w:rPr>
        <w:t>art. 31</w:t>
      </w:r>
      <w:r>
        <w:rPr>
          <w:rFonts w:ascii="Courier New" w:hAnsi="Courier New" w:cs="Courier New"/>
          <w:color w:val="0000FF"/>
          <w:lang w:val="en-US"/>
        </w:rPr>
        <w:t xml:space="preserve"> şi </w:t>
      </w:r>
      <w:r>
        <w:rPr>
          <w:rFonts w:ascii="Courier New" w:hAnsi="Courier New" w:cs="Courier New"/>
          <w:vanish/>
          <w:color w:val="0000FF"/>
          <w:lang w:val="en-US"/>
        </w:rPr>
        <w:t>&lt;LLNK 12011   292 12 233     59&gt;</w:t>
      </w:r>
      <w:r>
        <w:rPr>
          <w:rFonts w:ascii="Courier New" w:hAnsi="Courier New" w:cs="Courier New"/>
          <w:color w:val="0000FF"/>
          <w:u w:val="single"/>
          <w:lang w:val="en-US"/>
        </w:rPr>
        <w:t>art. 32 alin. (1) din Legea asistenţei sociale nr. 292/2011</w:t>
      </w:r>
      <w:r>
        <w:rPr>
          <w:rFonts w:ascii="Courier New" w:hAnsi="Courier New" w:cs="Courier New"/>
          <w:color w:val="0000FF"/>
          <w:lang w:val="en-US"/>
        </w:rPr>
        <w:t>, cu modificările şi completările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a) din Articolul 8 , Sectiunea a 2-a , Capitolul II  a fost modificată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servicii prevăzute la </w:t>
      </w:r>
      <w:r>
        <w:rPr>
          <w:rFonts w:ascii="Courier New" w:hAnsi="Courier New" w:cs="Courier New"/>
          <w:vanish/>
          <w:color w:val="0000FF"/>
          <w:lang w:val="en-US"/>
        </w:rPr>
        <w:t>&lt;LLNK 12011   292 12 233     25&gt;</w:t>
      </w:r>
      <w:r>
        <w:rPr>
          <w:rFonts w:ascii="Courier New" w:hAnsi="Courier New" w:cs="Courier New"/>
          <w:color w:val="0000FF"/>
          <w:u w:val="single"/>
          <w:lang w:val="en-US"/>
        </w:rPr>
        <w:t>art. 33 alin. (1) lit. b)</w:t>
      </w:r>
      <w:r>
        <w:rPr>
          <w:rFonts w:ascii="Courier New" w:hAnsi="Courier New" w:cs="Courier New"/>
          <w:color w:val="0000FF"/>
          <w:lang w:val="en-US"/>
        </w:rPr>
        <w:t xml:space="preserve"> şi </w:t>
      </w:r>
      <w:r>
        <w:rPr>
          <w:rFonts w:ascii="Courier New" w:hAnsi="Courier New" w:cs="Courier New"/>
          <w:vanish/>
          <w:color w:val="0000FF"/>
          <w:lang w:val="en-US"/>
        </w:rPr>
        <w:t>&lt;LLNK 12011   292 12 233     25&gt;</w:t>
      </w:r>
      <w:r>
        <w:rPr>
          <w:rFonts w:ascii="Courier New" w:hAnsi="Courier New" w:cs="Courier New"/>
          <w:color w:val="0000FF"/>
          <w:u w:val="single"/>
          <w:lang w:val="en-US"/>
        </w:rPr>
        <w:t>c) din Legea nr. 292/2011</w:t>
      </w:r>
      <w:r>
        <w:rPr>
          <w:rFonts w:ascii="Courier New" w:hAnsi="Courier New" w:cs="Courier New"/>
          <w:color w:val="0000FF"/>
          <w:lang w:val="en-US"/>
        </w:rPr>
        <w:t>, cu modificările şi completările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b) din Articolul 8 , Sectiunea a 2-a , Capitolul II  a fost modificată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servicii medicale, sub forma consultaţiilor şi îngrijirilor medicale la domiciliu sau în instituţii de sănătate, consultaţii şi îngrijiri stomatologice, administrarea de medicamente, acordarea de materiale sanitare şi de dispozitive medicale.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Serviciile comunitare de consiliere, în vederea prevenirii marginalizării sociale şi pentru reintegrare socială, se asigură fără plata unei contribuţii, ca un drept fundamental al persoanelor vârstnice, de către asistenţi sociali.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Serviciile prevăzute la art. 8 lit. a) şi b) se asigură fără plata contribuţiei persoanelor vârstnice care, evaluate potrivit grilei naţionale de evaluare a nevoilor persoanelor vârstnice, se încadrează în una dintre următoarele situaţii: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nu au venituri şi nici susţinători legali;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sunt beneficiari ai ajutorului social acordat în baza </w:t>
      </w:r>
      <w:r>
        <w:rPr>
          <w:rFonts w:ascii="Courier New" w:hAnsi="Courier New" w:cs="Courier New"/>
          <w:vanish/>
          <w:color w:val="0000FF"/>
          <w:lang w:val="en-US"/>
        </w:rPr>
        <w:t>&lt;LLNK 12001   416 12 2L1   0 18&gt;</w:t>
      </w:r>
      <w:r>
        <w:rPr>
          <w:rFonts w:ascii="Courier New" w:hAnsi="Courier New" w:cs="Courier New"/>
          <w:color w:val="0000FF"/>
          <w:u w:val="single"/>
          <w:lang w:val="en-US"/>
        </w:rPr>
        <w:t>Legii nr. 416/2001</w:t>
      </w:r>
      <w:r>
        <w:rPr>
          <w:rFonts w:ascii="Courier New" w:hAnsi="Courier New" w:cs="Courier New"/>
          <w:color w:val="0000FF"/>
          <w:lang w:val="en-US"/>
        </w:rPr>
        <w:t xml:space="preserve"> privind venitul minim garantat, cu modificările şi completările ulterioare, sau realizează venituri al căror cuantum se situează sub nivelul indemnizaţiei sociale pentru pensionari prevăzute de </w:t>
      </w:r>
      <w:r>
        <w:rPr>
          <w:rFonts w:ascii="Courier New" w:hAnsi="Courier New" w:cs="Courier New"/>
          <w:vanish/>
          <w:color w:val="0000FF"/>
          <w:lang w:val="en-US"/>
        </w:rPr>
        <w:t>&lt;LLNK 12009     6182 351   0 44&gt;</w:t>
      </w:r>
      <w:r>
        <w:rPr>
          <w:rFonts w:ascii="Courier New" w:hAnsi="Courier New" w:cs="Courier New"/>
          <w:color w:val="0000FF"/>
          <w:u w:val="single"/>
          <w:lang w:val="en-US"/>
        </w:rPr>
        <w:t>Ordonanţa de urgenţă a Guvernului nr. 6/2009</w:t>
      </w:r>
      <w:r>
        <w:rPr>
          <w:rFonts w:ascii="Courier New" w:hAnsi="Courier New" w:cs="Courier New"/>
          <w:color w:val="0000FF"/>
          <w:lang w:val="en-US"/>
        </w:rPr>
        <w:t xml:space="preserve"> privind instituirea pensiei sociale minime garantate, aprobată prin </w:t>
      </w:r>
      <w:r>
        <w:rPr>
          <w:rFonts w:ascii="Courier New" w:hAnsi="Courier New" w:cs="Courier New"/>
          <w:vanish/>
          <w:color w:val="0000FF"/>
          <w:lang w:val="en-US"/>
        </w:rPr>
        <w:t>&lt;LLNK 12009   196 10 201   0 18&gt;</w:t>
      </w:r>
      <w:r>
        <w:rPr>
          <w:rFonts w:ascii="Courier New" w:hAnsi="Courier New" w:cs="Courier New"/>
          <w:color w:val="0000FF"/>
          <w:u w:val="single"/>
          <w:lang w:val="en-US"/>
        </w:rPr>
        <w:t>Legea nr. 196/2009</w:t>
      </w:r>
      <w:r>
        <w:rPr>
          <w:rFonts w:ascii="Courier New" w:hAnsi="Courier New" w:cs="Courier New"/>
          <w:color w:val="0000FF"/>
          <w:lang w:val="en-US"/>
        </w:rPr>
        <w:t>, cu modificările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 susţinătorii legali ai persoanelor vârstnice prevăzute la lit. b) realizează venituri al căror cuantum se situează sub cuantumurile veniturilor prevăzute la lit. b).</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(2) din Articolul 9 , Sectiunea a 2-a , Capitolul II  a fost modificat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2,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10</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Persoanele vârstnice care se încadrează în grila naţională de evaluare a nevoilor persoanelor vârstnice, îndreptăţite să beneficieze de serviciile prevăzute la art. 8 lit. a) şi b) şi care realizează venituri peste cele prevăzute la art. 9 alin. (2) lit. b) beneficiază de servicii cu plata unei contribuţii, stabilite în urma procesului de evaluare complexă, în funcţie de tipul de servicii acordate şi de venitul persoanei/susţinătorilor legali, fără a se depăşi costul acestora calculat pentru perioada respectivă. Tipurile de servicii şi costul acestora se stabilesc de autorităţile administraţiei publice locale, respectiv de furnizorul de servicii sociale, cu respectarea prevederilor legale.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10 din Sectiunea a 2-a , Capitolul II  a fost modificat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3,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Serviciile medicale prevăzute la art. 8 lit. c) sunt acordate în baza reglementărilor legale privind asigurările sociale de sănătate.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12</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Organizarea serviciilor prevăzute la art. 8 lit. a) şi b) revine autorităţilor administraţiei publice locale, prin serviciile publice de asistenţă socială direct sau în baza convenţiilor de parteneriat şi a contractelor de servicii sociale încheiate cu alţi furnizori publici sau privaţi de servicii sociale care deţin licenţă de funcţionare pentru servicii de îngrijire la domiciliu.</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În aplicarea prevederilor alin. (1) şi a prevederilor </w:t>
      </w:r>
      <w:r>
        <w:rPr>
          <w:rFonts w:ascii="Courier New" w:hAnsi="Courier New" w:cs="Courier New"/>
          <w:vanish/>
          <w:color w:val="0000FF"/>
          <w:lang w:val="en-US"/>
        </w:rPr>
        <w:t>&lt;LLNK 12011   292 10 201   0 60&gt;</w:t>
      </w:r>
      <w:r>
        <w:rPr>
          <w:rFonts w:ascii="Courier New" w:hAnsi="Courier New" w:cs="Courier New"/>
          <w:color w:val="0000FF"/>
          <w:u w:val="single"/>
          <w:lang w:val="en-US"/>
        </w:rPr>
        <w:t>art. 119 alin. (1) din Legea asistenţei sociale nr. 292/2011</w:t>
      </w:r>
      <w:r>
        <w:rPr>
          <w:rFonts w:ascii="Courier New" w:hAnsi="Courier New" w:cs="Courier New"/>
          <w:color w:val="0000FF"/>
          <w:lang w:val="en-US"/>
        </w:rPr>
        <w:t>, cu modificările ulterioare, autorităţile administraţiei publice locale, prin serviciul public de asistenţă socială şi prin compartimentul de contractare, au în vedere următoarele: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estimarea anuală a numărului persoanelor vârstnice dependente care necesită sprijin pentru activităţile de bază ale vieţii zilnice;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estimarea numărului persoanelor vârstnice care nu primesc ajutor pentru îndeplinirea activităţilor instrumentale ale vieţii zilnice din partea îngrijitorilor informali şi voluntari;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 elaborarea indicatorilor de eficienţă cost/beneficiu.</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Art. 12 a fost modificat de pct. 3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Conform </w:t>
      </w:r>
      <w:r>
        <w:rPr>
          <w:rFonts w:ascii="Courier New" w:hAnsi="Courier New" w:cs="Courier New"/>
          <w:vanish/>
          <w:lang w:val="en-US"/>
        </w:rPr>
        <w:t>&lt;LLNK 12016    34180 301   0 58&gt;</w:t>
      </w:r>
      <w:r>
        <w:rPr>
          <w:rFonts w:ascii="Courier New" w:hAnsi="Courier New" w:cs="Courier New"/>
          <w:color w:val="0000FF"/>
          <w:u w:val="single"/>
          <w:lang w:val="en-US"/>
        </w:rPr>
        <w:t>art. III din ORDONANŢA DE URGENŢĂ nr. 34 din 28 iunie 2016</w:t>
      </w:r>
      <w:r>
        <w:rPr>
          <w:rFonts w:ascii="Courier New" w:hAnsi="Courier New" w:cs="Courier New"/>
          <w:lang w:val="en-US"/>
        </w:rPr>
        <w:t xml:space="preserve"> publicată în MONITORUL OFICIAL nr. 488 din 30 iunie 2016, "(1) Convenţiile încheiate între consiliile locale şi organizaţii neguvernamentale, unităţi de cult recunoscute în România ori alte persoane fizice sau juridice, în baza prevederilor </w:t>
      </w:r>
      <w:r>
        <w:rPr>
          <w:rFonts w:ascii="Courier New" w:hAnsi="Courier New" w:cs="Courier New"/>
          <w:vanish/>
          <w:lang w:val="en-US"/>
        </w:rPr>
        <w:t>&lt;LLNK 12000    17 10 201   0 29&gt;</w:t>
      </w:r>
      <w:r>
        <w:rPr>
          <w:rFonts w:ascii="Courier New" w:hAnsi="Courier New" w:cs="Courier New"/>
          <w:color w:val="0000FF"/>
          <w:u w:val="single"/>
          <w:lang w:val="en-US"/>
        </w:rPr>
        <w:t>art. 12 din Legea nr. 17/2000</w:t>
      </w:r>
      <w:r>
        <w:rPr>
          <w:rFonts w:ascii="Courier New" w:hAnsi="Courier New" w:cs="Courier New"/>
          <w:lang w:val="en-US"/>
        </w:rPr>
        <w:t xml:space="preserve"> privind asistenţa socială a persoanelor vârstnice, republicată, cu modificările şi completările ulterioare, aflate în derulate la data intrării în vigoare a prezentei ordonanţe de urgenţă şi care nu au fost renegociate după intrarea în vigoare a </w:t>
      </w:r>
      <w:r>
        <w:rPr>
          <w:rFonts w:ascii="Courier New" w:hAnsi="Courier New" w:cs="Courier New"/>
          <w:vanish/>
          <w:lang w:val="en-US"/>
        </w:rPr>
        <w:t>&lt;LLNK 12011   292 10 201   0 37&gt;</w:t>
      </w:r>
      <w:r>
        <w:rPr>
          <w:rFonts w:ascii="Courier New" w:hAnsi="Courier New" w:cs="Courier New"/>
          <w:color w:val="0000FF"/>
          <w:u w:val="single"/>
          <w:lang w:val="en-US"/>
        </w:rPr>
        <w:t>Legii asistenţei sociale nr. 292/2011</w:t>
      </w:r>
      <w:r>
        <w:rPr>
          <w:rFonts w:ascii="Courier New" w:hAnsi="Courier New" w:cs="Courier New"/>
          <w:lang w:val="en-US"/>
        </w:rPr>
        <w:t>, cu modificările ulterioare, se renegociază în conformitate cu prevederile legale în vigoare, într-un termen de 6 luni de la data intrării în vigoare a prezentei ordonanţe de urgenţă.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Convenţiile prevăzute la alin. (1) sunt valabile pentru perioada pentru care au fost încheiate".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13</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Pentru asigurarea îngrijirii la domiciliu a persoanei vârstnice aflate în situaţia de dependenţă sociomedicală, stabilită conform grilei naţionale de evaluare a nevoilor persoanelor vârstnice, autorităţile administraţiei publice locale pot angaja personal de îngrijire prin plata cu ora, fracţiuni de normă sau normă întreagă, în funcţie de perioada de îngrijire necesară a se acorda şi cu respectarea criteriilor prevăzute de standardele de calitate aplicabile în domeniu, conform legislaţiei în vigoare.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(1) din Articolul 13 , Sectiunea a 2-a , Capitolul II  a fost modificat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4, Punctul 4,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Soţul şi rudele care au în îngrijire o persoană vârstnică dependentă pot beneficia de program lunar redus de lucru, de o jumătate de normă, cu suportarea drepturilor salariale pentru cealaltă jumătate de normă din bugetul local, corespunzător salariului brut lunar al îngrijitorului la domiciliu, potrivit </w:t>
      </w:r>
      <w:r>
        <w:rPr>
          <w:rFonts w:ascii="Courier New" w:hAnsi="Courier New" w:cs="Courier New"/>
          <w:vanish/>
          <w:color w:val="0000FF"/>
          <w:lang w:val="en-US"/>
        </w:rPr>
        <w:t>&lt;LLNK 12017   153 12 201   0 24&gt;</w:t>
      </w:r>
      <w:r>
        <w:rPr>
          <w:rFonts w:ascii="Courier New" w:hAnsi="Courier New" w:cs="Courier New"/>
          <w:color w:val="0000FF"/>
          <w:u w:val="single"/>
          <w:lang w:val="en-US"/>
        </w:rPr>
        <w:t>Legii-cadru nr. 153/2017</w:t>
      </w:r>
      <w:r>
        <w:rPr>
          <w:rFonts w:ascii="Courier New" w:hAnsi="Courier New" w:cs="Courier New"/>
          <w:color w:val="0000FF"/>
          <w:lang w:val="en-US"/>
        </w:rPr>
        <w:t xml:space="preserve"> privind salarizarea personalului plătit din fonduri publice. Timpul cât soţul şi rudele au fost încadrate în aceste condiţii se consideră, la calculul vechimii în muncă, timp lucrat cu normă întreagă.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(2) din Articolul 13 , Sectiunea a 2-a , Capitolul II  a fost modificat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4, Punctul 4,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Abrogat.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(3) al art. 13 a fost abrogat de pct. 2 al </w:t>
      </w:r>
      <w:r>
        <w:rPr>
          <w:rFonts w:ascii="Courier New" w:hAnsi="Courier New" w:cs="Courier New"/>
          <w:vanish/>
          <w:color w:val="0000FF"/>
          <w:lang w:val="en-US"/>
        </w:rPr>
        <w:t>&lt;LLNK 12010    43180 301   0 54&gt;</w:t>
      </w:r>
      <w:r>
        <w:rPr>
          <w:rFonts w:ascii="Courier New" w:hAnsi="Courier New" w:cs="Courier New"/>
          <w:color w:val="0000FF"/>
          <w:u w:val="single"/>
          <w:lang w:val="en-US"/>
        </w:rPr>
        <w:t>art. IX din ORDONANŢA DE URGENŢĂ nr. 43 din 5 mai 2010</w:t>
      </w:r>
      <w:r>
        <w:rPr>
          <w:rFonts w:ascii="Courier New" w:hAnsi="Courier New" w:cs="Courier New"/>
          <w:color w:val="0000FF"/>
          <w:lang w:val="en-US"/>
        </w:rPr>
        <w:t>, publicată în MONITORUL OFICIAL nr. 316 din 13 mai 2010.</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14</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Serviciile comunitare asigurate persoanelor vârstnice în cămine sunt: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servicii sociale, care constau în:</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ajutor pentru menaj;</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consiliere juridică şi administrativă;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modalităţi de prevenire a marginalizării sociale şi de reintegrare socială în raport cu capacitatea psihoafectivă;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servicii sociomedicale, care constau în:</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ajutor pentru menţinerea sau readaptarea capacităţilor fizice ori intelectuale;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asigurarea unor programe de ergoterapie;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sprijin pentru realizarea igienei corporale;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servicii medicale, care constau în:</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consultaţii şi tratamente la cabinetul medical, în instituţii medicale de profil sau la patul persoanei, dacă aceasta este imobilizată;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servicii de îngrijire-infirmerie;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asigurarea medicamentelor;</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asigurarea cu dispozitive medicale;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consultaţii şi îngrijiri stomatologice.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15</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La solicitarea organizaţiilor neguvernamentale, a organizaţiilor de pensionari sau a unităţilor de cult recunoscute în România, căminele pot asigura unele servicii prevăzute la art. 14, îngrijirea unor persoane vârstnice la domiciliu, pe bază de convenţii încheiate cu finanţatorul.</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16</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Îngrijirea persoanelor vârstnice în cămine reprezintă o măsură de asistenţă socială şi poate fi dispusă cu titlu de excepţie pentru persoanele care se găsesc în una dintre situaţiile prevăzute la art. 3.</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Accesul unei persoane vârstnice în cămin se face avându-se în vedere următoarele criterii de prioritate: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necesită îngrijire medicală permanentă deosebită, care nu poate fi asigurată la domiciliu;</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nu se poate gospodări singură;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este lipsită de susţinători legali sau aceştia nu pot să îşi îndeplinească obligaţiile datorită stării de sănătate sau situaţiei economice şi a sarcinilor familiale;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nu are locuinţă şi nu realizează venituri proprii.</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17</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Evaluarea, monitorizarea şi controlul respectării prevederilor prezentei legi se realizează de Agenţia Naţională pentru Plăţi şi Inspecţie Socială.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17 din Sectiunea a 2-a , Capitolul II  a fost modificat de </w:t>
      </w:r>
      <w:r>
        <w:rPr>
          <w:rFonts w:ascii="Courier New" w:hAnsi="Courier New" w:cs="Courier New"/>
          <w:vanish/>
          <w:color w:val="0000FF"/>
          <w:lang w:val="en-US"/>
        </w:rPr>
        <w:t>&lt;LLNK 12018    19 10 201   0134&gt;</w:t>
      </w:r>
      <w:r>
        <w:rPr>
          <w:rFonts w:ascii="Courier New" w:hAnsi="Courier New" w:cs="Courier New"/>
          <w:color w:val="0000FF"/>
          <w:u w:val="single"/>
          <w:lang w:val="en-US"/>
        </w:rPr>
        <w:t>Punctul 4^1, Punctul 5,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3-a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Organizarea şi funcţionarea căminelor pentru persoane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18</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Căminul pentru persoane vârstnice este centrul rezidenţial cu sau fără personalitate juridică, finanţat integral din bugetul local, înfiinţat şi organizat potrivit dispoziţiilor prezentei legi, care acordă, pe perioadă nedeterminată, îngrijire persoanelor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(1) din Articolul 18 , Sectiunea a 3-a , Capitolul II  a fost modificat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5, Punctul 6,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Căminele asigură condiţii corespunzătoare de găzduire şi de hrană, îngrijiri medicale, recuperare şi readaptare, activităţi de ergoterapie şi de petrecere a timpului liber, asistenţă socială şi psihologică.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Căminele pentru pensionari, căminele pentru bătrâni şi căminele pentru bătrâni bolnavi cronici, existente la data intrării în vigoare a prezentei legi sau care vor fi date ulterior în folosinţă, vor funcţiona sub formă de cămine pentru persoane vârstnice, cu secţii pentru:</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persoane dependente;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persoane semidependente;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persoane care nu sunt dependente.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(4)  Serviciile publice de asistenţă socială asigură îndrumarea metodologică şi coordonarea activităţii de specialitate necesare pentru buna funcţionare a căminelor pentru persoane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(4) din Articolul 18 , Sectiunea a 3-a , Capitolul II  a fost modificat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5, Punctul 6,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(5) Cheltuielile de funcţionare a căminului pentru persoane vârstnice se asigură cu respectarea principiului subsidiarităţii, în următoarea ordine: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din venituri proprii;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a) din Alineatul (5) , Articolul 18 , Sectiunea a 3-a , Capitolul II  a fost modificată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5, Punctul 6,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din sume alocate din bugete locale ale unităţilor/subdiviziunilor administrativ-teritoriale;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 din bugetul de stat, din sume defalcate din taxa pe valoarea adăugată - în proporţie de cel puţin 10% din standardul minim de cost aprobat prin hotărâre a Guvernului, în condiţiile legii, în completarea sumelor prevăzute la lit. </w:t>
      </w:r>
      <w:r>
        <w:rPr>
          <w:rFonts w:ascii="Courier New" w:hAnsi="Courier New" w:cs="Courier New"/>
          <w:vanish/>
          <w:color w:val="0000FF"/>
          <w:lang w:val="en-US"/>
        </w:rPr>
        <w:t>&lt;LLNK 12000    17 13 243      2&gt;</w:t>
      </w:r>
      <w:r>
        <w:rPr>
          <w:rFonts w:ascii="Courier New" w:hAnsi="Courier New" w:cs="Courier New"/>
          <w:color w:val="0000FF"/>
          <w:u w:val="single"/>
          <w:lang w:val="en-US"/>
        </w:rPr>
        <w:t>a)</w:t>
      </w:r>
      <w:r>
        <w:rPr>
          <w:rFonts w:ascii="Courier New" w:hAnsi="Courier New" w:cs="Courier New"/>
          <w:color w:val="0000FF"/>
          <w:lang w:val="en-US"/>
        </w:rPr>
        <w:t xml:space="preserve"> şi b), pe baza necesarului stabilit anual de Ministerul Muncii şi Justiţiei Sociale, la elaborarea bugetului de stat.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c) din Alineatul (5) , Articolul 18 , Sectiunea a 3-a , Capitolul II  a fost modificată de </w:t>
      </w:r>
      <w:r>
        <w:rPr>
          <w:rFonts w:ascii="Courier New" w:hAnsi="Courier New" w:cs="Courier New"/>
          <w:vanish/>
          <w:color w:val="0000FF"/>
          <w:lang w:val="en-US"/>
        </w:rPr>
        <w:t>&lt;LLNK 12018    19 10 201   0132&gt;</w:t>
      </w:r>
      <w:r>
        <w:rPr>
          <w:rFonts w:ascii="Courier New" w:hAnsi="Courier New" w:cs="Courier New"/>
          <w:color w:val="0000FF"/>
          <w:u w:val="single"/>
          <w:lang w:val="en-US"/>
        </w:rPr>
        <w:t>Punctul 5, Punctul 6,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(5) al art. 18 a fost modificat de pct. 5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Conform </w:t>
      </w:r>
      <w:r>
        <w:rPr>
          <w:rFonts w:ascii="Courier New" w:hAnsi="Courier New" w:cs="Courier New"/>
          <w:vanish/>
          <w:lang w:val="en-US"/>
        </w:rPr>
        <w:t>&lt;LLNK 12016    34180 301   0 57&gt;</w:t>
      </w:r>
      <w:r>
        <w:rPr>
          <w:rFonts w:ascii="Courier New" w:hAnsi="Courier New" w:cs="Courier New"/>
          <w:color w:val="0000FF"/>
          <w:u w:val="single"/>
          <w:lang w:val="en-US"/>
        </w:rPr>
        <w:t>art. II din ORDONANŢA DE URGENŢĂ nr. 34 din 28 iunie 2016</w:t>
      </w:r>
      <w:r>
        <w:rPr>
          <w:rFonts w:ascii="Courier New" w:hAnsi="Courier New" w:cs="Courier New"/>
          <w:lang w:val="en-US"/>
        </w:rPr>
        <w:t xml:space="preserve"> publicată în MONITORUL OFICIAL nr. 488 din 30 iunie 2016, "Prevederile lit. c) de la alin. (5) al </w:t>
      </w:r>
      <w:r>
        <w:rPr>
          <w:rFonts w:ascii="Courier New" w:hAnsi="Courier New" w:cs="Courier New"/>
          <w:vanish/>
          <w:lang w:val="en-US"/>
        </w:rPr>
        <w:t>&lt;LLNK 12000    17 10 201   0 29&gt;</w:t>
      </w:r>
      <w:r>
        <w:rPr>
          <w:rFonts w:ascii="Courier New" w:hAnsi="Courier New" w:cs="Courier New"/>
          <w:color w:val="0000FF"/>
          <w:u w:val="single"/>
          <w:lang w:val="en-US"/>
        </w:rPr>
        <w:t>art. 18 din Legea nr. 17/2000</w:t>
      </w:r>
      <w:r>
        <w:rPr>
          <w:rFonts w:ascii="Courier New" w:hAnsi="Courier New" w:cs="Courier New"/>
          <w:lang w:val="en-US"/>
        </w:rPr>
        <w:t xml:space="preserve"> privind asistenţa socială a persoanelor vârstnice, republicată, cu modificările şi completările ulterioare, aşa cum este modificat de prevederile prezentei ordonanţe de urgenţă, intră în vigoare începând cu data de 1 septembrie 2016".</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(6) Sumele alocate potrivit prevederilor alin. (5) lit. c), repartizate pe judeţe la propunerea Ministerului Muncii, Familiei, Protecţiei Sociale şi Persoanelor Vârstnice, se aprobă distinct prin anexă la legea bugetului de stat şi se repartizează pe unităţi administrativ-teritoriale prin decizie a directorului direcţiei generale regionale a finanţelor publice/şefului administraţiei judeţene a finanţelor publice, la propunerea agenţiei judeţene pentru plăţi şi inspecţie socială, respectiv a municipiului Bucureşti fundamentată pe baza solicitărilor autorităţilor administraţiei publice locale.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(6) al art. 18 a fost introdus de pct. 6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19</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Principalele obiective ale unui cămin sunt: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să asigure persoanelor vârstnice îngrijite maximum posibil de autonomie şi siguranţă;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să ofere condiţii de îngrijire care să respecte identitatea, integritatea şi demnitatea persoanei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să permită menţinerea sau ameliorarea capacităţilor fizice şi intelectuale ale persoanelor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să stimuleze participarea persoanelor vârstnice la viaţa socială;</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să faciliteze şi să încurajeze legăturile interumane, inclusiv cu familiile persoanelor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să asigure supravegherea şi îngrijirea medicală necesară, potrivit reglementărilor privind asigurările sociale de sănătate;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să prevină şi să trateze consecinţele legate de procesul de îmbătrânire.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Finanţarea asistenţei sociale pentru persoanele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Finanţarea din fonduri bugetare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20</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Finanţarea serviciilor de asistenţă socială şi a prestaţiilor prevăzute de prezenta lege se asigură pe principiul împărţirii responsabilităţii între administraţia publică centrală şi cea locală.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De la bugetul de stat se alocă fonduri pentru:</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finanţarea activităţilor de asistenţă socială desfăşurate de asociaţii şi fundaţii române cu personalitate juridică, precum şi de unităţile de cult recunoscute în România;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cheltuieli de investiţii şi reparaţii capitale pentru unităţi de asistenţă socială din zone defavorizate;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 finanţarea cheltuielilor curente ale căminelor pentru persoane vârstnice, potrivit prevederilor art. 18 alin. (5) lit. c);</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Lit. c) a alin. (1) al art. 21 a fost modificată de pct. 7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c^1) finanţarea programelor de interes naţional destinate dezvoltării şi sustenabilităţii serviciilor sociale pentru persoanele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Lit. c^1) a alin. (1) al art. 21 a fost introdusă de pct. 8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alte cheltuieli stabilite prin legile bugetare anuale.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De la bugetul local se alocă fonduri pentru:</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sume alocate în completarea veniturilor proprii ale căminelor prevăzute la art. 18 alin. (5) lit. a);</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Lit. a) a alin. (2) al art. 21 a fost modificată de pct. 9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a^1) finanţarea cheltuielilor căminelor din subordine/ administrare;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a^1) din Alineatul (2) , Articolul 21 , Sectiunea 1 , Capitolul III  a fost modificată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7,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finanţarea activităţii de asistenţă socială a unor asociaţii şi fundaţii române cu personalitate juridică, precum şi a unităţilor de cult recunoscute în România;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finanţarea cheltuielilor pentru organizarea şi funcţionarea serviciilor comunitare de asistenţă socială, precum şi pentru îngrijirea la domiciliu în condiţiile art. 13;</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cheltuieli pentru înmormântarea asistaţilor, în situaţia prevăzută la art. 7 alin. (3).</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Sponsorizările şi donaţiile în bani sau în natură, făcute de persoane fizice şi juridice române şi străine căminelor pentru persoane vârstnice sau celorlalte instituţii şi unităţi de asistenţă socială prevăzute la art. 7 alin. (1) lit. c) se utilizează cu respectarea prevederilor </w:t>
      </w:r>
      <w:r>
        <w:rPr>
          <w:rFonts w:ascii="Courier New" w:hAnsi="Courier New" w:cs="Courier New"/>
          <w:vanish/>
          <w:color w:val="0000FF"/>
          <w:lang w:val="en-US"/>
        </w:rPr>
        <w:t>&lt;LLNK 12006   273 10 201   0 18&gt;</w:t>
      </w:r>
      <w:r>
        <w:rPr>
          <w:rFonts w:ascii="Courier New" w:hAnsi="Courier New" w:cs="Courier New"/>
          <w:color w:val="0000FF"/>
          <w:u w:val="single"/>
          <w:lang w:val="en-US"/>
        </w:rPr>
        <w:t>Legii nr. 273/2006</w:t>
      </w:r>
      <w:r>
        <w:rPr>
          <w:rFonts w:ascii="Courier New" w:hAnsi="Courier New" w:cs="Courier New"/>
          <w:color w:val="0000FF"/>
          <w:lang w:val="en-US"/>
        </w:rPr>
        <w:t xml:space="preserve"> privind finanţele publice locale, cu modificările şi completările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(3) al art. 21 a fost modificat de pct. 11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22</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Investiţiile pentru construirea, dotarea, întreţinerea, modernizarea, precum şi cheltuielile pentru funcţionarea căminelor care deservesc mai multe unităţi administrativ-teritoriale se finanţează potrivit parteneriatelor încheiate între autorităţile administraţiei publice locale, potrivit legii.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22 din Sectiunea 1 , Capitolul III  a fost modificat de </w:t>
      </w:r>
      <w:r>
        <w:rPr>
          <w:rFonts w:ascii="Courier New" w:hAnsi="Courier New" w:cs="Courier New"/>
          <w:vanish/>
          <w:color w:val="0000FF"/>
          <w:lang w:val="en-US"/>
        </w:rPr>
        <w:t>&lt;LLNK 12018    19 10 201   0135&gt;</w:t>
      </w:r>
      <w:r>
        <w:rPr>
          <w:rFonts w:ascii="Courier New" w:hAnsi="Courier New" w:cs="Courier New"/>
          <w:color w:val="0000FF"/>
          <w:u w:val="single"/>
          <w:lang w:val="en-US"/>
        </w:rPr>
        <w:t>Punctul 11^1, Punctul 8,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23</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Cheltuielile pentru servicii medicale, materiale sanitare, dispozitive medicale şi medicamente se suportă din fondurile şi în condiţiile prevăzute de reglementările privind asigurările sociale de sănătate.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Cheltuielile care nu se suportă din fondurile asigurărilor sociale de sănătate, în condiţiile legii, sunt asigurate de căminul pentru persoane vârstnice, prin care se realizează asistenţa persoanei în cauză.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2-a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Contribuţia persoanelor vârstnice sau a susţinătorilor legali ai acestora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24</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Persoana vârstnică îngrijită în căminul organizat potrivit prezentei legi, precum şi susţinătorii legali ai acesteia, care dispun de venituri proprii, au obligaţia să plătească lunar o contribuţie de întreţinere, stabilită individualizat, în urma evaluării complexe efectuate potrivit dispoziţiilor </w:t>
      </w:r>
      <w:r>
        <w:rPr>
          <w:rFonts w:ascii="Courier New" w:hAnsi="Courier New" w:cs="Courier New"/>
          <w:vanish/>
          <w:color w:val="0000FF"/>
          <w:lang w:val="en-US"/>
        </w:rPr>
        <w:t>&lt;LLNK 12011   292 12 232  49 30&gt;</w:t>
      </w:r>
      <w:r>
        <w:rPr>
          <w:rFonts w:ascii="Courier New" w:hAnsi="Courier New" w:cs="Courier New"/>
          <w:color w:val="0000FF"/>
          <w:u w:val="single"/>
          <w:lang w:val="en-US"/>
        </w:rPr>
        <w:t>art. 49 din Legea nr. 292/2011</w:t>
      </w:r>
      <w:r>
        <w:rPr>
          <w:rFonts w:ascii="Courier New" w:hAnsi="Courier New" w:cs="Courier New"/>
          <w:color w:val="0000FF"/>
          <w:lang w:val="en-US"/>
        </w:rPr>
        <w:t>, cu modificările şi completările ulterioare, pe baza costului mediu lunar de întreţinere, precum şi a veniturilor persoanei vârstnice şi, după caz, a susţinătorilor legali ai acesteia.</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(1) din Articolul 24 , Sectiunea a 2-a , Capitolul III  a fost modificat de </w:t>
      </w:r>
      <w:r>
        <w:rPr>
          <w:rFonts w:ascii="Courier New" w:hAnsi="Courier New" w:cs="Courier New"/>
          <w:vanish/>
          <w:color w:val="0000FF"/>
          <w:lang w:val="en-US"/>
        </w:rPr>
        <w:t>&lt;LLNK 12018    19 10 201   0135&gt;</w:t>
      </w:r>
      <w:r>
        <w:rPr>
          <w:rFonts w:ascii="Courier New" w:hAnsi="Courier New" w:cs="Courier New"/>
          <w:color w:val="0000FF"/>
          <w:u w:val="single"/>
          <w:lang w:val="en-US"/>
        </w:rPr>
        <w:t>Punctul 11^2, Punctul 8,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(1^1) Contribuţia de întreţinere prevăzută la alin. (1) reprezintă venit la bugetul local.</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24  din  Sectiunea a 2-a , Capitolul III  a fost completat de </w:t>
      </w:r>
      <w:r>
        <w:rPr>
          <w:rFonts w:ascii="Courier New" w:hAnsi="Courier New" w:cs="Courier New"/>
          <w:vanish/>
          <w:color w:val="0000FF"/>
          <w:lang w:val="en-US"/>
        </w:rPr>
        <w:t>&lt;LLNK 12018    19 10 201   0135&gt;</w:t>
      </w:r>
      <w:r>
        <w:rPr>
          <w:rFonts w:ascii="Courier New" w:hAnsi="Courier New" w:cs="Courier New"/>
          <w:color w:val="0000FF"/>
          <w:u w:val="single"/>
          <w:lang w:val="en-US"/>
        </w:rPr>
        <w:t>Punctul 11^3, Punctul 8,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Persoanele vârstnice care nu au venituri şi nici susţinători legali nu datorează contribuţia de întreţinere, aceasta fiind asigurată din bugetele locale sau judeţene, după caz, în limita hotărâtă de acestea.</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Abrogat.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(3) al art. 24 a fost abrogat de pct. 12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25</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Costul mediu lunar de întreţinere se stabileşte anual de către consiliile locale şi/sau judeţene, după caz, înainte de adoptarea bugetelor proprii.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Costul mediu lunar de întreţinere se stabileşte în funcţie de gradul de dependenţă al persoanei vârstnice îngrijite şi are în vedere totalitatea cheltuielilor curente anuale ale căminului pentru persoane vârstnice, diminuate cu sumele primite din Fondul naţional unic de asigurări de sănătate, pentru finanţarea drepturilor de personal ale personalului medical şi a medicamentelor.</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(2) al art. 25 a fost modificat de pct. 13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Abrogat.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(3) al art. 25 a fost abrogat de pct. 14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(4) Costul mediu lunar de întreţinere trebuie să asigure îndeplinirea nivelului standardelor minime de calitate şi nu poate fi mai mic decât standardul minim de cost aprobat prin hotărâre a Guvernului, în condiţiile legii.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Alin. (4) al art. 25 a fost modificat de pct. 15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Acoperirea valorii integrale a contribuţiei lunare se stabileşte astfel:</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persoanele vârstnice care au venituri şi sunt îngrijite în cămin datorează contribuţia lunară de întreţinere în cuantum de până la 60% din valoarea veniturilor personale lunare, fără a se depăşi costul mediu lunar de întreţinere aprobat pentru fiecare cămin;</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Potrivit </w:t>
      </w:r>
      <w:r>
        <w:rPr>
          <w:rFonts w:ascii="Courier New" w:hAnsi="Courier New" w:cs="Courier New"/>
          <w:vanish/>
          <w:lang w:val="en-US"/>
        </w:rPr>
        <w:t>&lt;LLNK 12015   978 20 301   0 50&gt;</w:t>
      </w:r>
      <w:r>
        <w:rPr>
          <w:rFonts w:ascii="Courier New" w:hAnsi="Courier New" w:cs="Courier New"/>
          <w:color w:val="0000FF"/>
          <w:u w:val="single"/>
          <w:lang w:val="en-US"/>
        </w:rPr>
        <w:t>art. 8 din HOTĂRÂREA nr. 978 din 16 decembrie 2015</w:t>
      </w:r>
      <w:r>
        <w:rPr>
          <w:rFonts w:ascii="Courier New" w:hAnsi="Courier New" w:cs="Courier New"/>
          <w:lang w:val="en-US"/>
        </w:rPr>
        <w:t xml:space="preserve">, publicată în MONITORUL OFICIAL nr. 959 din 24 decembrie 2015, cuantumul venitului lunar pe membru de familie de la care susţinătorii legali ai persoanelor vârstnice îngrijite în cămine au obligaţia să plătească diferenţa până la concurenţa valorii integrale a contribuţiei lunare de întreţinere, prevăzută la </w:t>
      </w:r>
      <w:r>
        <w:rPr>
          <w:rFonts w:ascii="Courier New" w:hAnsi="Courier New" w:cs="Courier New"/>
          <w:vanish/>
          <w:lang w:val="en-US"/>
        </w:rPr>
        <w:t>&lt;LLNK 12000    17 10 201   0 47&gt;</w:t>
      </w:r>
      <w:r>
        <w:rPr>
          <w:rFonts w:ascii="Courier New" w:hAnsi="Courier New" w:cs="Courier New"/>
          <w:color w:val="0000FF"/>
          <w:u w:val="single"/>
          <w:lang w:val="en-US"/>
        </w:rPr>
        <w:t>art. 25 alin. (5) lit. a) din Legea nr. 17/2000</w:t>
      </w:r>
      <w:r>
        <w:rPr>
          <w:rFonts w:ascii="Courier New" w:hAnsi="Courier New" w:cs="Courier New"/>
          <w:lang w:val="en-US"/>
        </w:rPr>
        <w:t xml:space="preserve"> privind asistenţa socială a persoanelor vârstnice, republicată, cu modificările şi completările ulterioare, este de 782 lei.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diferenţa până la concurenţa valorii integrale a contribuţiei lunare de întreţinere se va plăti de către susţinătorii legali ai persoanelor vârstnice îngrijite în cămine, dacă realizează venit lunar pe membru de familie în cuantum mai mare decât valoarea netă a salariului de bază minim brut pe ţară garantat în plată, stabilit potrivit legii;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Litera b) din Articolul 25 , Sectiunea a 2-a , Capitolul III  a fost modificată de </w:t>
      </w:r>
      <w:r>
        <w:rPr>
          <w:rFonts w:ascii="Courier New" w:hAnsi="Courier New" w:cs="Courier New"/>
          <w:vanish/>
          <w:color w:val="0000FF"/>
          <w:lang w:val="en-US"/>
        </w:rPr>
        <w:t>&lt;LLNK 12018    19 10 201   0121&gt;</w:t>
      </w:r>
      <w:r>
        <w:rPr>
          <w:rFonts w:ascii="Courier New" w:hAnsi="Courier New" w:cs="Courier New"/>
          <w:color w:val="0000FF"/>
          <w:u w:val="single"/>
          <w:lang w:val="en-US"/>
        </w:rPr>
        <w:t>Punctul 9,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20-01-2018 Litera b^1) a alin. (5) din Articolul 25 , Sectiunea a 2-a , Capitolul III  a fost abrogată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16^1, Punctul 10, ARTICOL UNIC din LEGEA nr. 19 din 12 ianuarie 2018, publicată în MONITORUL OFICIAL nr. 44 din 17 ianuarie 2018</w:t>
      </w:r>
      <w:r>
        <w:rPr>
          <w:rFonts w:ascii="Courier New" w:hAnsi="Courier New" w:cs="Courier New"/>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susţinătorii legali pot acoperi din veniturile proprii contribuţia lunară integrală printr-un angajament de plată.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(5^1) La stabilirea venitului lunar pe membru de familie al susţinătorilor legali se procedează după cum urmează: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din veniturile nete lunare ale susţinătorilor legali se scad eventualele obligaţii legale de întreţinere, aflate în executare;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suma rămasă se împarte la numărul membrilor de familie pe care susţinătorii legali îi au efectiv în întreţinere.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25  din  Sectiunea a 2-a , Capitolul III  a fost completat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16^2, Punctul 10,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(5^2) Categoriile de venituri luate în calcul la stabilirea venitului lunar pe membru de familie se stabilesc prin hotărâre a consiliului local/judeţean, cu respectarea prevederilor </w:t>
      </w:r>
      <w:r>
        <w:rPr>
          <w:rFonts w:ascii="Courier New" w:hAnsi="Courier New" w:cs="Courier New"/>
          <w:vanish/>
          <w:color w:val="0000FF"/>
          <w:lang w:val="en-US"/>
        </w:rPr>
        <w:t>&lt;LLNK 12016     0853 221   0 51&gt;</w:t>
      </w:r>
      <w:r>
        <w:rPr>
          <w:rFonts w:ascii="Courier New" w:hAnsi="Courier New" w:cs="Courier New"/>
          <w:color w:val="0000FF"/>
          <w:u w:val="single"/>
          <w:lang w:val="en-US"/>
        </w:rPr>
        <w:t>Legii nr. 287/2009 privind Codul civil, republicată</w:t>
      </w:r>
      <w:r>
        <w:rPr>
          <w:rFonts w:ascii="Courier New" w:hAnsi="Courier New" w:cs="Courier New"/>
          <w:color w:val="0000FF"/>
          <w:lang w:val="en-US"/>
        </w:rPr>
        <w:t>, cu modificările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25  din  Sectiunea a 2-a , Capitolul III  a fost completat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16^2, Punctul 10,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(5^3) Pentru stabilirea veniturilor persoanelor vârstnice îngrijite în cămin, prevederile alin. (5^1) şi (5^2) se aplică în mod corespunzător.</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25  din  Sectiunea a 2-a , Capitolul III  a fost completat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16^2, Punctul 10,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Dacă prin aplicarea cotei prevăzute la alin. (5) lit. a) se acoperă valoarea totală a contribuţiei lunare, susţinătorii legali nu mai sunt ţinuţi de obligaţia susţinerii plăţii diferenţei de contribuţie.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Obligaţia de plată a contribuţiei lunare de întreţinere în sarcina persoanei vârstnice şi/sau a susţinătorilor legali se stabileşte printr-un angajament de plată, semnat de persoana vârstnică, de reprezentantul său legal, după caz, şi/sau de susţinătorul legal. Angajamentul de plată constituie titlu executoriu.</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(8) Obligaţia de plată a contribuţiei lunare în sarcina susţinătorilor legali se poate stabili şi prin hotărâre judecătorească.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26</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Abrogat.</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Art. 26 a fost abrogat de pct. 17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IV</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Procedura de stabilire, suspendare şi încetare a drepturilor de asistenţă socială pentru persoanele vârstnice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27</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Asistenţa socială pentru persoanele vârstnice se acordă la cererea scrisă a persoanei vârstnice interesate sau a reprezentantului legal al acesteia. Cererea poate fi transmisă pe suport hârtie sau în format electronic şi trebuie însoţită de declaraţia pe propria răspundere privind veridicitatea datelor declarate, de un angajament de plată pentru situaţiile în care se pot constata drepturi acordate necuvenit, precum şi de alte documente doveditoare.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Cererea prevăzută la alin. (1) se transmite şi se înregistrează la serviciul public de asistenţă socială al autorităţii administraţiei publice locale unde are domiciliul sau reşedinţa persoana vârstnică şi conţine, în principal, următoarele: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 date privind persoana vârstnică;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b) date privind componenţa familiei;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c) veniturile realizate şi bunurile deţinute de membrii familiei persoanei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d) tipul de locuinţă, sistemul de încălzire utilizat şi numărul persoanelor care locuiesc la aceeaşi adresă de domiciliu sau reşedinţă;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e) informaţii referitoare la nevoile speciale şi situaţiile particulare în care se află persoana vârstnică şi membrii familiei.</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Pentru facilitarea accesului la acordarea dreptului la servicii sociale şi la beneficiile de asistenţă socială, precum şi pentru o mai bună prelucrare şi verificare electronică a datelor şi informaţiilor referitoare la îndeplinirea condiţiilor de eligibilitate, formularul de cerere şi declaraţia pe propria răspundere prevăzute la alin. (1) şi (2) sunt redactate pe secţiuni, respectiv cerere, anexe obligatorii şi anexe opţionale.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(4)  Documentele doveditoare prevăzute la alin. (1) privesc, în principal, recomandări şi/sau evaluări ale medicului de familie/medicului specialist, planul de externare şi de continuare a serviciilor de îngrijire medicală în comunitate, veniturile persoanei vârstnice şi bunurile acesteia şi, după caz, veniturile/ bunurile susţinătorilor legali.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(5)  Prin angajamentul de plată prevăzut la alin. (1) persoana vârstnică sau reprezentantul legal al acesteia îşi asumă obligaţia de restituire a sumelor încasate necuvenit şi precizează sursele de venit din care se va face plata/recuperarea acestora.</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(6)  Modelul formularului de cerere, al declaraţiei pe propria răspundere privind veridicitatea datelor declarate, al documentelor doveditoare, precum şi modelul angajamentului de plată, prevăzute în prezentul articol, se stabilesc prin hotărâre a Guvernului.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27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17^1,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28</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Dreptul la asistenţă socială, prevăzut de prezenta lege, se stabileşte pe baza anchetei sociale, cu respectarea criteriilor prevăzute în grila naţională de evaluare a nevoilor persoanelor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Ancheta socială se realizează de asistentul social din cadrul serviciului public de asistenţă socială. În situaţia persoanelor vârstnice dependente, echipa interdisciplinară, constituită potrivit legii, cuprinde, în mod obligatoriu, şi medicul specialist al persoanei respective.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(2) din Articolul 28 ,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17^2,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Echipa interdisciplinară prevăzută la alin. (2) poate fi completată şi cu reprezentanţi ai organizaţiilor pensionarilor, unităţilor de cult recunoscute în România sau ai altor organizaţii neguvernamentale care au ca obiect de activitate asistenţa socială a persoanelor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Alineatul (3) din Articolul 28 ,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17^2,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Pe baza analizei situaţiei sociale, economice şi medicale a persoanei vârstnice, prin ancheta socială se propune măsura de asistenţă socială justificată de situaţia de fapt constatată.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29</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Aprobarea, respingerea, suspendarea sau încetarea dreptului la serviciile sociale pentru persoanele vârstnice, prevăzut de prezenta lege, se realizează de către serviciul public de asistenţă socială, cu respectarea prevederilor referitoare la procesul de acordare a serviciilor sociale şi măsurile integrate de asistenţă socială a persoanelor vârstnice, prevăzute la </w:t>
      </w:r>
      <w:r>
        <w:rPr>
          <w:rFonts w:ascii="Courier New" w:hAnsi="Courier New" w:cs="Courier New"/>
          <w:vanish/>
          <w:color w:val="0000FF"/>
          <w:lang w:val="en-US"/>
        </w:rPr>
        <w:t>&lt;LLNK 12011   292 12 232  44 10&gt;</w:t>
      </w:r>
      <w:r>
        <w:rPr>
          <w:rFonts w:ascii="Courier New" w:hAnsi="Courier New" w:cs="Courier New"/>
          <w:color w:val="0000FF"/>
          <w:u w:val="single"/>
          <w:lang w:val="en-US"/>
        </w:rPr>
        <w:t>art. 44-52</w:t>
      </w:r>
      <w:r>
        <w:rPr>
          <w:rFonts w:ascii="Courier New" w:hAnsi="Courier New" w:cs="Courier New"/>
          <w:color w:val="0000FF"/>
          <w:lang w:val="en-US"/>
        </w:rPr>
        <w:t xml:space="preserve"> şi </w:t>
      </w:r>
      <w:r>
        <w:rPr>
          <w:rFonts w:ascii="Courier New" w:hAnsi="Courier New" w:cs="Courier New"/>
          <w:vanish/>
          <w:color w:val="0000FF"/>
          <w:lang w:val="en-US"/>
        </w:rPr>
        <w:t>&lt;LLNK 12011   292 12 232  92 34&gt;</w:t>
      </w:r>
      <w:r>
        <w:rPr>
          <w:rFonts w:ascii="Courier New" w:hAnsi="Courier New" w:cs="Courier New"/>
          <w:color w:val="0000FF"/>
          <w:u w:val="single"/>
          <w:lang w:val="en-US"/>
        </w:rPr>
        <w:t>art. 92-103 din Legea nr. 292/2011</w:t>
      </w:r>
      <w:r>
        <w:rPr>
          <w:rFonts w:ascii="Courier New" w:hAnsi="Courier New" w:cs="Courier New"/>
          <w:color w:val="0000FF"/>
          <w:lang w:val="en-US"/>
        </w:rPr>
        <w:t>, cu modificările şi completările ulterioare.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29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17^3,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30</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Autoritatea tutelară/Instanţa de tutelă din unitatea administrativ-teritorială în care persoana vârstnică are domiciliul sau reşedinţa are obligaţia de a acorda, la solicitarea acesteia, consiliere juridică gratuită în vederea încheierii contractelor de vânzare-cumpărare sau de donaţie ori în vederea constituirii de garanţii mobiliare sau imobiliare, care au ca obiect bunurile mobile ori imobile ale persoanei vârstnice.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Persoana vârstnică este asistată, la cererea acesteia sau din oficiu, după caz, de un reprezentant al autorităţii tutelare, în vederea încheierii oricărui act translativ de proprietate, având ca obiect bunuri proprii, în scopul întreţinerii şi îngrijirii sale.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30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17^4,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31</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Obligaţia de întreţinere şi de îngrijire, precum şi modalităţile practice de executare a acesteia se prevăd expres în actul juridic încheiat de notarul public, sub sancţiunea nulităţii.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31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17^5,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32</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Autoritatea tutelară/Instanţa de tutelă din unitatea administrativ-teritorială în care persoana vârstnică are domiciliul sau reşedinţa primeşte din oficiu un duplicat al actului juridic încheiat conform art. 30 şi 31.</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32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17^6,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33</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Neexecutarea obligaţiei de întreţinere şi de îngrijire de către noul proprietar al bunurilor obţinute ca urmare a actului juridic de înstrăinare poate fi sesizată autorităţii tutelare/instanţei de tutelă din unitatea administrativ-teritorială în care persoana vârstnică are domiciliul sau reşedinţa, de către orice persoană fizică sau juridică. Autoritatea tutelară se poate sesiza şi din oficiu.</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33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17^7,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34</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(1)  În termen de 24 de ore de la înregistrarea sesizării, autoritatea tutelară/instanţa de tutelă din unitatea administrativ-teritorială în care persoana vârstnică are domiciliul sau reşedinţa efectuează o anchetă socială.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(2)  În termenul prevăzut la alin. (1), autoritatea tutelară/instanţa de tutelă din unitatea administrativ-teritorială în care persoana vârstnică are domiciliul sau reşedinţa solicită agenţiei judeţene pentru plăţi şi inspecţie socială să realizeze, în maximum 3 zile de la solicitare, o investigaţie privind respectarea drepturilor persoanei vârstnice de către furnizorul de servicii sociale.</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(3)  În baza anchetei sociale şi, după caz, a rezultatului investigaţiei, autoritatea tutelară/instanţa de tutelă din unitatea administrativ-teritorială în care persoana vârstnică are domiciliul sau reşedinţa iniţiază demersurile necesare în vederea executării obligaţiilor înscrise în actul juridic încheiat sau solicită instanţei judecătoreşti rezilierea contractului de întreţinere în nume propriu şi în interesul persoanei întreţinute pentru neîndeplinirea obligaţiilor din contract şi, dacă este cazul, formulează plângere penală.</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20-01-2018 Articolul 34 din Capitolul IV  a fost modificat de </w:t>
      </w:r>
      <w:r>
        <w:rPr>
          <w:rFonts w:ascii="Courier New" w:hAnsi="Courier New" w:cs="Courier New"/>
          <w:vanish/>
          <w:color w:val="0000FF"/>
          <w:lang w:val="en-US"/>
        </w:rPr>
        <w:t>&lt;LLNK 12018    19 10 201   0136&gt;</w:t>
      </w:r>
      <w:r>
        <w:rPr>
          <w:rFonts w:ascii="Courier New" w:hAnsi="Courier New" w:cs="Courier New"/>
          <w:color w:val="0000FF"/>
          <w:u w:val="single"/>
          <w:lang w:val="en-US"/>
        </w:rPr>
        <w:t>Punctul 17^8, Punctul 11, ARTICOL UNIC din LEGEA nr. 19 din 12 ianuarie 2018, publicată în MONITORUL OFICIAL nr. 44 din 17 ianuarie 2018</w:t>
      </w: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35</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Dreptul la serviciile de asistenţă socială încetează dacă nu mai sunt îndeplinite condiţiile pentru acordarea acestora.</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Dacă perioada în care asistenţa socială a persoanelor vârstnice este temporară, dar nu mai mare de 6 luni, acordarea serviciilor de asistenţă socială se suspendă prin decizie motivată a celui care a stabilit dreptul. La încetarea suspendării reluarea acordării serviciilor sau prestaţiilor de asistenţă socială se face pe bază de anchetă socială.</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36</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Decizia privind stabilirea, respingerea, încetarea sau suspendarea dreptului la serviciile de asistenţă socială prevăzute de prezenta lege poate fi contestată potrivit </w:t>
      </w:r>
      <w:r>
        <w:rPr>
          <w:rFonts w:ascii="Courier New" w:hAnsi="Courier New" w:cs="Courier New"/>
          <w:vanish/>
          <w:lang w:val="en-US"/>
        </w:rPr>
        <w:t>&lt;LLNK 11990    29 10 201   0 46&gt;</w:t>
      </w:r>
      <w:r>
        <w:rPr>
          <w:rFonts w:ascii="Courier New" w:hAnsi="Courier New" w:cs="Courier New"/>
          <w:color w:val="0000FF"/>
          <w:u w:val="single"/>
          <w:lang w:val="en-US"/>
        </w:rPr>
        <w:t>Legii contenciosului administrativ nr. 29/1990</w:t>
      </w: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w:t>
      </w:r>
      <w:r>
        <w:rPr>
          <w:rFonts w:ascii="Courier New" w:hAnsi="Courier New" w:cs="Courier New"/>
          <w:vanish/>
          <w:lang w:val="en-US"/>
        </w:rPr>
        <w:t>&lt;LLNK 11990    29 10 201   0 46&gt;</w:t>
      </w:r>
      <w:r>
        <w:rPr>
          <w:rFonts w:ascii="Courier New" w:hAnsi="Courier New" w:cs="Courier New"/>
          <w:color w:val="0000FF"/>
          <w:u w:val="single"/>
          <w:lang w:val="en-US"/>
        </w:rPr>
        <w:t>Legea contenciosului administrativ nr. 29/1990</w:t>
      </w:r>
      <w:r>
        <w:rPr>
          <w:rFonts w:ascii="Courier New" w:hAnsi="Courier New" w:cs="Courier New"/>
          <w:lang w:val="en-US"/>
        </w:rPr>
        <w:t xml:space="preserve"> a fost abrogată şi înlocuită prin </w:t>
      </w:r>
      <w:r>
        <w:rPr>
          <w:rFonts w:ascii="Courier New" w:hAnsi="Courier New" w:cs="Courier New"/>
          <w:vanish/>
          <w:lang w:val="en-US"/>
        </w:rPr>
        <w:t>&lt;LLNK 12004   554 10 201   0 47&gt;</w:t>
      </w:r>
      <w:r>
        <w:rPr>
          <w:rFonts w:ascii="Courier New" w:hAnsi="Courier New" w:cs="Courier New"/>
          <w:color w:val="0000FF"/>
          <w:u w:val="single"/>
          <w:lang w:val="en-US"/>
        </w:rPr>
        <w:t>Legea contenciosului administrativ nr. 554/2004</w:t>
      </w:r>
      <w:r>
        <w:rPr>
          <w:rFonts w:ascii="Courier New" w:hAnsi="Courier New" w:cs="Courier New"/>
          <w:lang w:val="en-US"/>
        </w:rPr>
        <w:t>, publicată în Monitorul Oficial al României, Partea I, nr. 1.154 din 7 decembrie 2004.</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37</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Încălcarea dispoziţiilor prezentei legi atrage răspunderea disciplinară, materială, civilă sau penală, după caz.</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38</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Ministerul Muncii, Familiei şi Protecţiei Sociale*) asigură îndrumarea metodologică, coordonează, controlează şi evaluează aplicarea dispoziţiilor prezentei legi.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12007   381 20 301   0 37&gt;</w:t>
      </w:r>
      <w:r>
        <w:rPr>
          <w:rFonts w:ascii="Courier New" w:hAnsi="Courier New" w:cs="Courier New"/>
          <w:color w:val="0000FF"/>
          <w:u w:val="single"/>
          <w:lang w:val="en-US"/>
        </w:rPr>
        <w:t>HOTĂRÂREA nr. 381 din 25 aprilie 2007</w:t>
      </w:r>
      <w:r>
        <w:rPr>
          <w:rFonts w:ascii="Courier New" w:hAnsi="Courier New" w:cs="Courier New"/>
          <w:lang w:val="en-US"/>
        </w:rPr>
        <w:t xml:space="preserve">, publicată în MONITORUL OFICIAL nr. 287 din 2 mai 2007 s-a dispus organizarea şi funcţionarea Ministerului Muncii, Familiei şi Egalităţii de Şanse. </w:t>
      </w:r>
      <w:r>
        <w:rPr>
          <w:rFonts w:ascii="Courier New" w:hAnsi="Courier New" w:cs="Courier New"/>
          <w:vanish/>
          <w:lang w:val="en-US"/>
        </w:rPr>
        <w:t>&lt;LLNK 12007   381 20 301   0 37&gt;</w:t>
      </w:r>
      <w:r>
        <w:rPr>
          <w:rFonts w:ascii="Courier New" w:hAnsi="Courier New" w:cs="Courier New"/>
          <w:color w:val="0000FF"/>
          <w:u w:val="single"/>
          <w:lang w:val="en-US"/>
        </w:rPr>
        <w:t>HOTĂRÂREA nr. 381 din 25 aprilie 2007</w:t>
      </w:r>
      <w:r>
        <w:rPr>
          <w:rFonts w:ascii="Courier New" w:hAnsi="Courier New" w:cs="Courier New"/>
          <w:lang w:val="en-US"/>
        </w:rPr>
        <w:t xml:space="preserve">, publicată în MONITORUL OFICIAL nr. 287 din 2 mai 2007 a fost abrogată de </w:t>
      </w:r>
      <w:r>
        <w:rPr>
          <w:rFonts w:ascii="Courier New" w:hAnsi="Courier New" w:cs="Courier New"/>
          <w:vanish/>
          <w:lang w:val="en-US"/>
        </w:rPr>
        <w:t>&lt;LLNK 12009    11 20 301   0 37&gt;</w:t>
      </w:r>
      <w:r>
        <w:rPr>
          <w:rFonts w:ascii="Courier New" w:hAnsi="Courier New" w:cs="Courier New"/>
          <w:color w:val="0000FF"/>
          <w:u w:val="single"/>
          <w:lang w:val="en-US"/>
        </w:rPr>
        <w:t>HOTĂRÂREA nr. 11 din 16 ianuarie 2009</w:t>
      </w:r>
      <w:r>
        <w:rPr>
          <w:rFonts w:ascii="Courier New" w:hAnsi="Courier New" w:cs="Courier New"/>
          <w:lang w:val="en-US"/>
        </w:rPr>
        <w:t>, publicată în MONITORUL OFICIAL nr. 41 din 23 ianuarie 2009 prin care s-a dispus organizarea şi funcţionarea Ministerului Muncii, Familiei şi Protecţiei Sociale.</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V</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finale şi tranzitorii</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39</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Autorităţile administraţiei publice locale, în funcţie de condiţiile de care dispun, pot înfiinţa potrivit legii gospodării anexe, ca activităţi autofinanţate, în scopul îmbunătăţirii hranei.</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Art. 39 a fost modificat de pct. 18 al </w:t>
      </w:r>
      <w:r>
        <w:rPr>
          <w:rFonts w:ascii="Courier New" w:hAnsi="Courier New" w:cs="Courier New"/>
          <w:vanish/>
          <w:color w:val="0000FF"/>
          <w:lang w:val="en-US"/>
        </w:rPr>
        <w:t>&lt;LLNK 12016    34180 301   0 56&gt;</w:t>
      </w:r>
      <w:r>
        <w:rPr>
          <w:rFonts w:ascii="Courier New" w:hAnsi="Courier New" w:cs="Courier New"/>
          <w:color w:val="0000FF"/>
          <w:u w:val="single"/>
          <w:lang w:val="en-US"/>
        </w:rPr>
        <w:t>art. I din ORDONANŢA DE URGENŢĂ nr. 34 din 28 iunie 2016</w:t>
      </w:r>
      <w:r>
        <w:rPr>
          <w:rFonts w:ascii="Courier New" w:hAnsi="Courier New" w:cs="Courier New"/>
          <w:color w:val="0000FF"/>
          <w:lang w:val="en-US"/>
        </w:rPr>
        <w:t xml:space="preserve"> publicată în MONITORUL OFICIAL nr. 488 din 30 iunie 2016.</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40</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Prezenta lege intră în vigoare la 90 de zile de la publicarea ei în Monitorul Oficial al României, Partea I.</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41</w:t>
      </w: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Pe data intrării în vigoare a prezentei legi se abrogă </w:t>
      </w:r>
      <w:r>
        <w:rPr>
          <w:rFonts w:ascii="Courier New" w:hAnsi="Courier New" w:cs="Courier New"/>
          <w:vanish/>
          <w:lang w:val="en-US"/>
        </w:rPr>
        <w:t>&lt;LLNK 11971   253 30 801   0 21&gt;</w:t>
      </w:r>
      <w:r>
        <w:rPr>
          <w:rFonts w:ascii="Courier New" w:hAnsi="Courier New" w:cs="Courier New"/>
          <w:color w:val="0000FF"/>
          <w:u w:val="single"/>
          <w:lang w:val="en-US"/>
        </w:rPr>
        <w:t>Decretul nr. 253/1971</w:t>
      </w:r>
      <w:r>
        <w:rPr>
          <w:rFonts w:ascii="Courier New" w:hAnsi="Courier New" w:cs="Courier New"/>
          <w:lang w:val="en-US"/>
        </w:rPr>
        <w:t xml:space="preserve"> privind contribuţia de întreţinere în unele instituţii de ocrotire, publicat în Buletinul Oficial, Partea I, nr. 90 din 30 iulie 1971, precum şi orice dispoziţii contrare.</w:t>
      </w: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p>
    <w:p w:rsidR="00720BF4" w:rsidRDefault="00720BF4" w:rsidP="00106B4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720BF4" w:rsidRDefault="00720BF4" w:rsidP="00106B45">
      <w:pPr>
        <w:autoSpaceDE w:val="0"/>
        <w:autoSpaceDN w:val="0"/>
        <w:adjustRightInd w:val="0"/>
        <w:spacing w:after="0" w:line="240" w:lineRule="auto"/>
        <w:jc w:val="both"/>
        <w:rPr>
          <w:rFonts w:ascii="Courier New" w:hAnsi="Courier New" w:cs="Courier New"/>
          <w:lang w:val="en-US"/>
        </w:rPr>
      </w:pPr>
    </w:p>
    <w:bookmarkEnd w:id="0"/>
    <w:p w:rsidR="00DF18F4" w:rsidRDefault="00DF18F4" w:rsidP="00106B45">
      <w:pPr>
        <w:jc w:val="both"/>
      </w:pPr>
    </w:p>
    <w:sectPr w:rsidR="00DF18F4" w:rsidSect="00741DBB">
      <w:footerReference w:type="default" r:id="rId6"/>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E0C" w:rsidRDefault="00B65E0C" w:rsidP="00106B45">
      <w:pPr>
        <w:spacing w:after="0" w:line="240" w:lineRule="auto"/>
      </w:pPr>
      <w:r>
        <w:separator/>
      </w:r>
    </w:p>
  </w:endnote>
  <w:endnote w:type="continuationSeparator" w:id="0">
    <w:p w:rsidR="00B65E0C" w:rsidRDefault="00B65E0C" w:rsidP="0010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913900"/>
      <w:docPartObj>
        <w:docPartGallery w:val="Page Numbers (Bottom of Page)"/>
        <w:docPartUnique/>
      </w:docPartObj>
    </w:sdtPr>
    <w:sdtEndPr>
      <w:rPr>
        <w:noProof/>
      </w:rPr>
    </w:sdtEndPr>
    <w:sdtContent>
      <w:p w:rsidR="00106B45" w:rsidRDefault="00106B45">
        <w:pPr>
          <w:pStyle w:val="Footer"/>
          <w:jc w:val="right"/>
        </w:pPr>
        <w:r>
          <w:fldChar w:fldCharType="begin"/>
        </w:r>
        <w:r>
          <w:instrText xml:space="preserve"> PAGE   \* MERGEFORMAT </w:instrText>
        </w:r>
        <w:r>
          <w:fldChar w:fldCharType="separate"/>
        </w:r>
        <w:r w:rsidR="00B65E0C">
          <w:rPr>
            <w:noProof/>
          </w:rPr>
          <w:t>1</w:t>
        </w:r>
        <w:r>
          <w:rPr>
            <w:noProof/>
          </w:rPr>
          <w:fldChar w:fldCharType="end"/>
        </w:r>
      </w:p>
    </w:sdtContent>
  </w:sdt>
  <w:p w:rsidR="00106B45" w:rsidRDefault="00106B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E0C" w:rsidRDefault="00B65E0C" w:rsidP="00106B45">
      <w:pPr>
        <w:spacing w:after="0" w:line="240" w:lineRule="auto"/>
      </w:pPr>
      <w:r>
        <w:separator/>
      </w:r>
    </w:p>
  </w:footnote>
  <w:footnote w:type="continuationSeparator" w:id="0">
    <w:p w:rsidR="00B65E0C" w:rsidRDefault="00B65E0C" w:rsidP="00106B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BF4"/>
    <w:rsid w:val="00106B45"/>
    <w:rsid w:val="00720BF4"/>
    <w:rsid w:val="00B65E0C"/>
    <w:rsid w:val="00DF18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08874E-D4A7-40E6-9408-AEB96FC3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B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6B45"/>
  </w:style>
  <w:style w:type="paragraph" w:styleId="Footer">
    <w:name w:val="footer"/>
    <w:basedOn w:val="Normal"/>
    <w:link w:val="FooterChar"/>
    <w:uiPriority w:val="99"/>
    <w:unhideWhenUsed/>
    <w:rsid w:val="00106B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6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6916</Words>
  <Characters>40116</Characters>
  <Application>Microsoft Office Word</Application>
  <DocSecurity>0</DocSecurity>
  <Lines>334</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2018-12-19T10:40:00Z</dcterms:created>
  <dcterms:modified xsi:type="dcterms:W3CDTF">2018-12-19T10:40:00Z</dcterms:modified>
</cp:coreProperties>
</file>