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E5245" w14:textId="4AA207BF" w:rsidR="006C5262" w:rsidRPr="00F214E3" w:rsidRDefault="006C5262" w:rsidP="006C5262">
      <w:pPr>
        <w:pStyle w:val="Heading2"/>
        <w:pageBreakBefore/>
        <w:rPr>
          <w:lang w:val="ro-RO"/>
        </w:rPr>
      </w:pPr>
      <w:bookmarkStart w:id="0" w:name="_Toc460076430"/>
      <w:r w:rsidRPr="00F214E3">
        <w:rPr>
          <w:lang w:val="ro-RO"/>
        </w:rPr>
        <w:t>T5 –</w:t>
      </w:r>
      <w:r>
        <w:rPr>
          <w:lang w:val="ro-RO"/>
        </w:rPr>
        <w:t xml:space="preserve"> Formular </w:t>
      </w:r>
      <w:r w:rsidR="00443B46">
        <w:rPr>
          <w:lang w:val="ro-RO"/>
        </w:rPr>
        <w:t xml:space="preserve">ROMACT </w:t>
      </w:r>
      <w:r>
        <w:rPr>
          <w:lang w:val="ro-RO"/>
        </w:rPr>
        <w:t>pentru Planul de Acțiune Comun</w:t>
      </w:r>
      <w:r w:rsidRPr="00F214E3">
        <w:rPr>
          <w:lang w:val="ro-RO"/>
        </w:rPr>
        <w:t xml:space="preserve"> </w:t>
      </w:r>
      <w:bookmarkEnd w:id="0"/>
    </w:p>
    <w:p w14:paraId="7786DF8E" w14:textId="760B37AD" w:rsidR="006C5262" w:rsidRPr="00F214E3" w:rsidRDefault="006C5262" w:rsidP="00443B46">
      <w:pPr>
        <w:jc w:val="both"/>
        <w:rPr>
          <w:lang w:val="ro-RO"/>
        </w:rPr>
      </w:pPr>
      <w:r>
        <w:rPr>
          <w:lang w:val="ro-RO"/>
        </w:rPr>
        <w:t xml:space="preserve">Acest formular ar trebui adaptat, după caz, pentru a se potrivi cu formularele oficiale folosite de către </w:t>
      </w:r>
      <w:r w:rsidR="00443B46">
        <w:rPr>
          <w:lang w:val="ro-RO"/>
        </w:rPr>
        <w:t>localitate</w:t>
      </w:r>
      <w:r w:rsidRPr="00F214E3">
        <w:rPr>
          <w:lang w:val="ro-RO"/>
        </w:rPr>
        <w:t xml:space="preserve">, </w:t>
      </w:r>
      <w:r>
        <w:rPr>
          <w:lang w:val="ro-RO"/>
        </w:rPr>
        <w:t>pentru a se înainta spre aprobare Primarului și</w:t>
      </w:r>
      <w:r w:rsidRPr="00F214E3">
        <w:rPr>
          <w:lang w:val="ro-RO"/>
        </w:rPr>
        <w:t xml:space="preserve"> </w:t>
      </w:r>
      <w:r>
        <w:rPr>
          <w:lang w:val="ro-RO"/>
        </w:rPr>
        <w:t>Consiliului Local</w:t>
      </w:r>
      <w:r w:rsidRPr="00F214E3">
        <w:rPr>
          <w:lang w:val="ro-R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2886"/>
        <w:gridCol w:w="1936"/>
        <w:gridCol w:w="1634"/>
        <w:gridCol w:w="1735"/>
        <w:gridCol w:w="2102"/>
        <w:gridCol w:w="2425"/>
      </w:tblGrid>
      <w:tr w:rsidR="003849EA" w:rsidRPr="00F214E3" w14:paraId="2DB91B8B" w14:textId="77777777" w:rsidTr="003849EA">
        <w:trPr>
          <w:trHeight w:val="726"/>
        </w:trPr>
        <w:tc>
          <w:tcPr>
            <w:tcW w:w="458" w:type="dxa"/>
            <w:shd w:val="clear" w:color="auto" w:fill="CCFFCC"/>
          </w:tcPr>
          <w:p w14:paraId="0C3B372A" w14:textId="77777777" w:rsidR="003849EA" w:rsidRPr="00F214E3" w:rsidRDefault="003849EA" w:rsidP="006D5BF2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Nr</w:t>
            </w:r>
          </w:p>
        </w:tc>
        <w:tc>
          <w:tcPr>
            <w:tcW w:w="2886" w:type="dxa"/>
            <w:shd w:val="clear" w:color="auto" w:fill="CCFFCC"/>
          </w:tcPr>
          <w:p w14:paraId="56BFF1F1" w14:textId="77777777" w:rsidR="003849EA" w:rsidRPr="00F214E3" w:rsidRDefault="003849EA" w:rsidP="006D5BF2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Măsură</w:t>
            </w:r>
            <w:r w:rsidRPr="00F214E3">
              <w:rPr>
                <w:b/>
                <w:lang w:val="ro-RO"/>
              </w:rPr>
              <w:t xml:space="preserve"> / Activit</w:t>
            </w:r>
            <w:r>
              <w:rPr>
                <w:b/>
                <w:lang w:val="ro-RO"/>
              </w:rPr>
              <w:t>ate</w:t>
            </w:r>
          </w:p>
        </w:tc>
        <w:tc>
          <w:tcPr>
            <w:tcW w:w="1936" w:type="dxa"/>
            <w:shd w:val="clear" w:color="auto" w:fill="CCFFCC"/>
          </w:tcPr>
          <w:p w14:paraId="1CB1806C" w14:textId="77777777" w:rsidR="003849EA" w:rsidRPr="00AF0CFE" w:rsidRDefault="003849EA" w:rsidP="003849EA">
            <w:pPr>
              <w:jc w:val="center"/>
              <w:rPr>
                <w:b/>
                <w:lang w:val="ro-RO"/>
              </w:rPr>
            </w:pPr>
            <w:r w:rsidRPr="000C4FDF">
              <w:rPr>
                <w:b/>
                <w:lang w:val="ro-RO"/>
              </w:rPr>
              <w:t>Rezultate și indicatori previzionați</w:t>
            </w:r>
          </w:p>
        </w:tc>
        <w:tc>
          <w:tcPr>
            <w:tcW w:w="1634" w:type="dxa"/>
            <w:shd w:val="clear" w:color="auto" w:fill="CCFFCC"/>
          </w:tcPr>
          <w:p w14:paraId="609868DA" w14:textId="77777777" w:rsidR="003849EA" w:rsidRPr="00AF0CFE" w:rsidRDefault="003849EA" w:rsidP="006D5BF2">
            <w:pPr>
              <w:jc w:val="center"/>
              <w:rPr>
                <w:b/>
                <w:lang w:val="ro-RO"/>
              </w:rPr>
            </w:pPr>
            <w:r w:rsidRPr="00AF0CFE">
              <w:rPr>
                <w:b/>
                <w:lang w:val="ro-RO"/>
              </w:rPr>
              <w:t>Perioada de implementare</w:t>
            </w:r>
          </w:p>
        </w:tc>
        <w:tc>
          <w:tcPr>
            <w:tcW w:w="1735" w:type="dxa"/>
            <w:shd w:val="clear" w:color="auto" w:fill="CCFFCC"/>
          </w:tcPr>
          <w:p w14:paraId="51FB672F" w14:textId="77777777" w:rsidR="003849EA" w:rsidRPr="00AF0CFE" w:rsidRDefault="003849EA" w:rsidP="006D5BF2">
            <w:pPr>
              <w:jc w:val="center"/>
              <w:rPr>
                <w:b/>
                <w:lang w:val="ro-RO"/>
              </w:rPr>
            </w:pPr>
            <w:r w:rsidRPr="00AF0CFE">
              <w:rPr>
                <w:b/>
                <w:lang w:val="ro-RO"/>
              </w:rPr>
              <w:t>Responsabil</w:t>
            </w:r>
          </w:p>
        </w:tc>
        <w:tc>
          <w:tcPr>
            <w:tcW w:w="2102" w:type="dxa"/>
            <w:shd w:val="clear" w:color="auto" w:fill="CCFFCC"/>
          </w:tcPr>
          <w:p w14:paraId="34B256CF" w14:textId="77777777" w:rsidR="003849EA" w:rsidRPr="000C4FDF" w:rsidRDefault="003849EA" w:rsidP="006D5BF2">
            <w:pPr>
              <w:jc w:val="center"/>
              <w:rPr>
                <w:b/>
                <w:lang w:val="ro-RO"/>
              </w:rPr>
            </w:pPr>
            <w:r w:rsidRPr="000C4FDF">
              <w:rPr>
                <w:b/>
                <w:lang w:val="ro-RO"/>
              </w:rPr>
              <w:t>Buget previzionat</w:t>
            </w:r>
          </w:p>
        </w:tc>
        <w:tc>
          <w:tcPr>
            <w:tcW w:w="2425" w:type="dxa"/>
            <w:shd w:val="clear" w:color="auto" w:fill="CCFFCC"/>
          </w:tcPr>
          <w:p w14:paraId="38B909C8" w14:textId="77777777" w:rsidR="003849EA" w:rsidRPr="00F214E3" w:rsidRDefault="003849EA" w:rsidP="006D5BF2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Sursă de finanțare</w:t>
            </w:r>
          </w:p>
        </w:tc>
      </w:tr>
      <w:tr w:rsidR="003849EA" w:rsidRPr="00F214E3" w14:paraId="0B052C62" w14:textId="77777777" w:rsidTr="003849EA">
        <w:tc>
          <w:tcPr>
            <w:tcW w:w="458" w:type="dxa"/>
          </w:tcPr>
          <w:p w14:paraId="31626DD4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886" w:type="dxa"/>
          </w:tcPr>
          <w:p w14:paraId="281C18B0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1936" w:type="dxa"/>
          </w:tcPr>
          <w:p w14:paraId="58EBD407" w14:textId="77777777" w:rsidR="003849EA" w:rsidRPr="00F214E3" w:rsidRDefault="008A3FE3" w:rsidP="006D5BF2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</w:p>
        </w:tc>
        <w:tc>
          <w:tcPr>
            <w:tcW w:w="1634" w:type="dxa"/>
          </w:tcPr>
          <w:p w14:paraId="6A32044E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1735" w:type="dxa"/>
          </w:tcPr>
          <w:p w14:paraId="1BDC1687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102" w:type="dxa"/>
          </w:tcPr>
          <w:p w14:paraId="65590BFD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425" w:type="dxa"/>
          </w:tcPr>
          <w:p w14:paraId="242DC5AC" w14:textId="77777777" w:rsidR="003849EA" w:rsidRPr="00F214E3" w:rsidRDefault="003849EA" w:rsidP="006D5BF2">
            <w:pPr>
              <w:rPr>
                <w:lang w:val="ro-RO"/>
              </w:rPr>
            </w:pPr>
          </w:p>
        </w:tc>
      </w:tr>
      <w:tr w:rsidR="003849EA" w:rsidRPr="00F214E3" w14:paraId="28D492F8" w14:textId="77777777" w:rsidTr="003849EA">
        <w:tc>
          <w:tcPr>
            <w:tcW w:w="458" w:type="dxa"/>
          </w:tcPr>
          <w:p w14:paraId="6084575C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886" w:type="dxa"/>
          </w:tcPr>
          <w:p w14:paraId="50184142" w14:textId="77777777" w:rsidR="003849EA" w:rsidRPr="00F214E3" w:rsidRDefault="003849EA" w:rsidP="00E7421B">
            <w:pPr>
              <w:rPr>
                <w:lang w:val="ro-RO"/>
              </w:rPr>
            </w:pPr>
          </w:p>
        </w:tc>
        <w:tc>
          <w:tcPr>
            <w:tcW w:w="1936" w:type="dxa"/>
          </w:tcPr>
          <w:p w14:paraId="4D8C5CD7" w14:textId="77777777" w:rsidR="00E7421B" w:rsidRPr="00F214E3" w:rsidRDefault="00E7421B" w:rsidP="006D5BF2">
            <w:pPr>
              <w:rPr>
                <w:lang w:val="ro-RO"/>
              </w:rPr>
            </w:pPr>
          </w:p>
        </w:tc>
        <w:tc>
          <w:tcPr>
            <w:tcW w:w="1634" w:type="dxa"/>
          </w:tcPr>
          <w:p w14:paraId="1CD2721C" w14:textId="77777777" w:rsidR="003849EA" w:rsidRPr="00F214E3" w:rsidRDefault="003849EA" w:rsidP="00B42BBD">
            <w:pPr>
              <w:rPr>
                <w:lang w:val="ro-RO"/>
              </w:rPr>
            </w:pPr>
          </w:p>
        </w:tc>
        <w:tc>
          <w:tcPr>
            <w:tcW w:w="1735" w:type="dxa"/>
          </w:tcPr>
          <w:p w14:paraId="50705305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102" w:type="dxa"/>
          </w:tcPr>
          <w:p w14:paraId="002DBF29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425" w:type="dxa"/>
          </w:tcPr>
          <w:p w14:paraId="760B4149" w14:textId="77777777" w:rsidR="003849EA" w:rsidRPr="00F214E3" w:rsidRDefault="003849EA" w:rsidP="006D5BF2">
            <w:pPr>
              <w:rPr>
                <w:lang w:val="ro-RO"/>
              </w:rPr>
            </w:pPr>
          </w:p>
        </w:tc>
      </w:tr>
      <w:tr w:rsidR="003849EA" w:rsidRPr="00F214E3" w14:paraId="5FD531C7" w14:textId="77777777" w:rsidTr="003849EA">
        <w:tc>
          <w:tcPr>
            <w:tcW w:w="458" w:type="dxa"/>
          </w:tcPr>
          <w:p w14:paraId="7E170949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886" w:type="dxa"/>
          </w:tcPr>
          <w:p w14:paraId="54CC2383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1936" w:type="dxa"/>
          </w:tcPr>
          <w:p w14:paraId="367B4B4E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1634" w:type="dxa"/>
          </w:tcPr>
          <w:p w14:paraId="3304CCB3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1735" w:type="dxa"/>
          </w:tcPr>
          <w:p w14:paraId="5A2DAEF1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102" w:type="dxa"/>
          </w:tcPr>
          <w:p w14:paraId="259D2B12" w14:textId="77777777" w:rsidR="003849EA" w:rsidRPr="00F214E3" w:rsidRDefault="003849EA" w:rsidP="006D5BF2">
            <w:pPr>
              <w:rPr>
                <w:lang w:val="ro-RO"/>
              </w:rPr>
            </w:pPr>
          </w:p>
        </w:tc>
        <w:tc>
          <w:tcPr>
            <w:tcW w:w="2425" w:type="dxa"/>
          </w:tcPr>
          <w:p w14:paraId="198A0B03" w14:textId="77777777" w:rsidR="003849EA" w:rsidRPr="00F214E3" w:rsidRDefault="003849EA" w:rsidP="006D5BF2">
            <w:pPr>
              <w:rPr>
                <w:lang w:val="ro-RO"/>
              </w:rPr>
            </w:pPr>
          </w:p>
        </w:tc>
      </w:tr>
    </w:tbl>
    <w:p w14:paraId="10E38845" w14:textId="77777777" w:rsidR="006C5262" w:rsidRDefault="006C5262" w:rsidP="006C5262">
      <w:pPr>
        <w:rPr>
          <w:lang w:val="ro-RO"/>
        </w:rPr>
      </w:pPr>
    </w:p>
    <w:p w14:paraId="03EF84E7" w14:textId="77777777" w:rsidR="0069463A" w:rsidRPr="0069463A" w:rsidRDefault="0069463A" w:rsidP="006C5262">
      <w:pPr>
        <w:rPr>
          <w:b/>
          <w:i/>
          <w:sz w:val="24"/>
          <w:lang w:val="ro-RO"/>
        </w:rPr>
      </w:pPr>
      <w:r w:rsidRPr="0069463A">
        <w:rPr>
          <w:b/>
          <w:i/>
          <w:sz w:val="24"/>
          <w:lang w:val="ro-RO"/>
        </w:rPr>
        <w:t>Exemplu: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2886"/>
        <w:gridCol w:w="1936"/>
        <w:gridCol w:w="1634"/>
        <w:gridCol w:w="1735"/>
        <w:gridCol w:w="2102"/>
        <w:gridCol w:w="2425"/>
      </w:tblGrid>
      <w:tr w:rsidR="0069463A" w:rsidRPr="00F214E3" w14:paraId="5E9F7B05" w14:textId="77777777" w:rsidTr="007958AE">
        <w:trPr>
          <w:trHeight w:val="726"/>
        </w:trPr>
        <w:tc>
          <w:tcPr>
            <w:tcW w:w="458" w:type="dxa"/>
            <w:shd w:val="clear" w:color="auto" w:fill="CCFFCC"/>
          </w:tcPr>
          <w:p w14:paraId="16CA507C" w14:textId="77777777" w:rsidR="0069463A" w:rsidRPr="00F214E3" w:rsidRDefault="0069463A" w:rsidP="007958AE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Nr</w:t>
            </w:r>
          </w:p>
        </w:tc>
        <w:tc>
          <w:tcPr>
            <w:tcW w:w="2886" w:type="dxa"/>
            <w:shd w:val="clear" w:color="auto" w:fill="CCFFCC"/>
          </w:tcPr>
          <w:p w14:paraId="6A7E7239" w14:textId="77777777" w:rsidR="0069463A" w:rsidRPr="00F214E3" w:rsidRDefault="0069463A" w:rsidP="007958AE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Măsură</w:t>
            </w:r>
            <w:r w:rsidRPr="00F214E3">
              <w:rPr>
                <w:b/>
                <w:lang w:val="ro-RO"/>
              </w:rPr>
              <w:t xml:space="preserve"> / Activit</w:t>
            </w:r>
            <w:r>
              <w:rPr>
                <w:b/>
                <w:lang w:val="ro-RO"/>
              </w:rPr>
              <w:t>ate</w:t>
            </w:r>
          </w:p>
        </w:tc>
        <w:tc>
          <w:tcPr>
            <w:tcW w:w="1936" w:type="dxa"/>
            <w:shd w:val="clear" w:color="auto" w:fill="CCFFCC"/>
          </w:tcPr>
          <w:p w14:paraId="0FF0D1FF" w14:textId="77777777" w:rsidR="0069463A" w:rsidRPr="00AF0CFE" w:rsidRDefault="0069463A" w:rsidP="007958AE">
            <w:pPr>
              <w:jc w:val="center"/>
              <w:rPr>
                <w:b/>
                <w:lang w:val="ro-RO"/>
              </w:rPr>
            </w:pPr>
            <w:r w:rsidRPr="00AF0CFE">
              <w:rPr>
                <w:b/>
                <w:lang w:val="ro-RO"/>
              </w:rPr>
              <w:t>Rezultate și indicatori previzionați</w:t>
            </w:r>
          </w:p>
        </w:tc>
        <w:tc>
          <w:tcPr>
            <w:tcW w:w="1634" w:type="dxa"/>
            <w:shd w:val="clear" w:color="auto" w:fill="CCFFCC"/>
          </w:tcPr>
          <w:p w14:paraId="24B4DC96" w14:textId="77777777" w:rsidR="0069463A" w:rsidRPr="00AF0CFE" w:rsidRDefault="0069463A" w:rsidP="007958AE">
            <w:pPr>
              <w:jc w:val="center"/>
              <w:rPr>
                <w:b/>
                <w:lang w:val="ro-RO"/>
              </w:rPr>
            </w:pPr>
            <w:r w:rsidRPr="00AF0CFE">
              <w:rPr>
                <w:b/>
                <w:lang w:val="ro-RO"/>
              </w:rPr>
              <w:t>Perioada de implementare</w:t>
            </w:r>
          </w:p>
        </w:tc>
        <w:tc>
          <w:tcPr>
            <w:tcW w:w="1735" w:type="dxa"/>
            <w:shd w:val="clear" w:color="auto" w:fill="CCFFCC"/>
          </w:tcPr>
          <w:p w14:paraId="497F1BC4" w14:textId="77777777" w:rsidR="0069463A" w:rsidRPr="00AF0CFE" w:rsidRDefault="0069463A" w:rsidP="007958AE">
            <w:pPr>
              <w:jc w:val="center"/>
              <w:rPr>
                <w:b/>
                <w:lang w:val="ro-RO"/>
              </w:rPr>
            </w:pPr>
            <w:r w:rsidRPr="00AF0CFE">
              <w:rPr>
                <w:b/>
                <w:lang w:val="ro-RO"/>
              </w:rPr>
              <w:t>Responsabil</w:t>
            </w:r>
          </w:p>
        </w:tc>
        <w:tc>
          <w:tcPr>
            <w:tcW w:w="2102" w:type="dxa"/>
            <w:shd w:val="clear" w:color="auto" w:fill="CCFFCC"/>
          </w:tcPr>
          <w:p w14:paraId="2C590DAA" w14:textId="77777777" w:rsidR="0069463A" w:rsidRDefault="0069463A" w:rsidP="007958AE">
            <w:pPr>
              <w:jc w:val="center"/>
              <w:rPr>
                <w:b/>
                <w:lang w:val="ro-RO"/>
              </w:rPr>
            </w:pPr>
            <w:r w:rsidRPr="00AF0CFE">
              <w:rPr>
                <w:b/>
                <w:lang w:val="ro-RO"/>
              </w:rPr>
              <w:t>Buget previzionat</w:t>
            </w:r>
          </w:p>
          <w:p w14:paraId="6F6DF5F7" w14:textId="77777777" w:rsidR="00B42BBD" w:rsidRPr="00AF0CFE" w:rsidRDefault="00B42BBD" w:rsidP="007958AE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(lei)</w:t>
            </w:r>
          </w:p>
        </w:tc>
        <w:tc>
          <w:tcPr>
            <w:tcW w:w="2425" w:type="dxa"/>
            <w:shd w:val="clear" w:color="auto" w:fill="CCFFCC"/>
          </w:tcPr>
          <w:p w14:paraId="6882024F" w14:textId="77777777" w:rsidR="0069463A" w:rsidRPr="00F214E3" w:rsidRDefault="0069463A" w:rsidP="007958AE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Sursă de finanțare</w:t>
            </w:r>
          </w:p>
        </w:tc>
      </w:tr>
      <w:tr w:rsidR="00B42BBD" w:rsidRPr="00F214E3" w14:paraId="2200B0BD" w14:textId="77777777" w:rsidTr="007958AE">
        <w:tc>
          <w:tcPr>
            <w:tcW w:w="458" w:type="dxa"/>
          </w:tcPr>
          <w:p w14:paraId="273F655B" w14:textId="77777777" w:rsidR="00B42BBD" w:rsidRPr="00F214E3" w:rsidRDefault="00B42BBD" w:rsidP="00B42BBD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886" w:type="dxa"/>
          </w:tcPr>
          <w:p w14:paraId="4620152C" w14:textId="77777777" w:rsidR="00B42BBD" w:rsidRPr="00B42BBD" w:rsidRDefault="00B42BBD" w:rsidP="000F7D10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en-GB" w:eastAsia="en-GB"/>
              </w:rPr>
            </w:pP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Înfiinţarea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dotarea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unor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r>
              <w:rPr>
                <w:rFonts w:eastAsia="Times New Roman" w:cs="Tahoma"/>
                <w:szCs w:val="20"/>
                <w:lang w:val="en-GB" w:eastAsia="en-GB"/>
              </w:rPr>
              <w:t>C</w:t>
            </w:r>
            <w:r>
              <w:rPr>
                <w:rFonts w:eastAsia="Times New Roman" w:cs="Tahoma"/>
                <w:szCs w:val="20"/>
                <w:lang w:val="x-none" w:eastAsia="en-GB"/>
              </w:rPr>
              <w:t xml:space="preserve">entre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multifuncţionale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de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sprijinire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a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persoanelor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din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grupurile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vulnerabile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r>
              <w:rPr>
                <w:rFonts w:eastAsia="Times New Roman" w:cs="Tahoma"/>
                <w:szCs w:val="20"/>
                <w:lang w:val="en-GB" w:eastAsia="en-GB"/>
              </w:rPr>
              <w:t xml:space="preserve">din </w:t>
            </w:r>
            <w:proofErr w:type="spellStart"/>
            <w:r w:rsidR="009C6BF6">
              <w:rPr>
                <w:rFonts w:eastAsia="Times New Roman" w:cs="Tahoma"/>
                <w:szCs w:val="20"/>
                <w:lang w:val="en-GB" w:eastAsia="en-GB"/>
              </w:rPr>
              <w:t>teritoriul</w:t>
            </w:r>
            <w:proofErr w:type="spellEnd"/>
            <w:r w:rsidR="009C6BF6">
              <w:rPr>
                <w:rFonts w:eastAsia="Times New Roman" w:cs="Tahoma"/>
                <w:szCs w:val="20"/>
                <w:lang w:val="en-GB" w:eastAsia="en-GB"/>
              </w:rPr>
              <w:t xml:space="preserve"> SDL</w:t>
            </w:r>
          </w:p>
        </w:tc>
        <w:tc>
          <w:tcPr>
            <w:tcW w:w="1936" w:type="dxa"/>
          </w:tcPr>
          <w:p w14:paraId="57D90CE7" w14:textId="5F68029E" w:rsidR="00B42BBD" w:rsidRPr="00D454DB" w:rsidRDefault="009C6BF6" w:rsidP="000F7D10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fr-FR" w:eastAsia="en-GB"/>
              </w:rPr>
            </w:pPr>
            <w:r>
              <w:rPr>
                <w:lang w:val="ro-RO"/>
              </w:rPr>
              <w:t>-</w:t>
            </w:r>
            <w:r w:rsidR="00443B46">
              <w:rPr>
                <w:lang w:val="ro-RO"/>
              </w:rPr>
              <w:t xml:space="preserve"> </w:t>
            </w:r>
            <w:r w:rsidR="00B42BBD">
              <w:rPr>
                <w:lang w:val="ro-RO"/>
              </w:rPr>
              <w:t xml:space="preserve">2 </w:t>
            </w:r>
            <w:r>
              <w:rPr>
                <w:rFonts w:eastAsia="Times New Roman" w:cs="Tahoma"/>
                <w:szCs w:val="20"/>
                <w:lang w:val="x-none" w:eastAsia="en-GB"/>
              </w:rPr>
              <w:t xml:space="preserve">centre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multifuncţionale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înfiinţate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dotate</w:t>
            </w:r>
            <w:proofErr w:type="spellEnd"/>
          </w:p>
        </w:tc>
        <w:tc>
          <w:tcPr>
            <w:tcW w:w="1634" w:type="dxa"/>
          </w:tcPr>
          <w:p w14:paraId="3CD0E48B" w14:textId="77777777" w:rsidR="00B42BBD" w:rsidRPr="00F214E3" w:rsidRDefault="00B42BBD" w:rsidP="000F7D10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Ianuarie 2018 – Iulie 2019</w:t>
            </w:r>
          </w:p>
        </w:tc>
        <w:tc>
          <w:tcPr>
            <w:tcW w:w="1735" w:type="dxa"/>
          </w:tcPr>
          <w:p w14:paraId="34DC6E2E" w14:textId="77777777" w:rsidR="00B42BBD" w:rsidRPr="00F214E3" w:rsidRDefault="00B42BBD" w:rsidP="009C6BF6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CD GAL</w:t>
            </w:r>
          </w:p>
        </w:tc>
        <w:tc>
          <w:tcPr>
            <w:tcW w:w="2102" w:type="dxa"/>
          </w:tcPr>
          <w:p w14:paraId="077BB1B5" w14:textId="77777777" w:rsidR="00B42BBD" w:rsidRPr="00F214E3" w:rsidRDefault="00B42BBD" w:rsidP="009C6BF6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2.700.000</w:t>
            </w:r>
          </w:p>
        </w:tc>
        <w:tc>
          <w:tcPr>
            <w:tcW w:w="2425" w:type="dxa"/>
          </w:tcPr>
          <w:p w14:paraId="2F5D1BCF" w14:textId="77777777" w:rsidR="00B42BBD" w:rsidRPr="00F214E3" w:rsidRDefault="00B42BBD" w:rsidP="009C6BF6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POR/POCU</w:t>
            </w:r>
          </w:p>
        </w:tc>
      </w:tr>
      <w:tr w:rsidR="009C6BF6" w:rsidRPr="00F214E3" w14:paraId="040B7B58" w14:textId="77777777" w:rsidTr="007958AE">
        <w:tc>
          <w:tcPr>
            <w:tcW w:w="458" w:type="dxa"/>
          </w:tcPr>
          <w:p w14:paraId="0F8902A7" w14:textId="77777777" w:rsidR="009C6BF6" w:rsidRDefault="009C6BF6" w:rsidP="000F7D1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lastRenderedPageBreak/>
              <w:t>2.</w:t>
            </w:r>
          </w:p>
        </w:tc>
        <w:tc>
          <w:tcPr>
            <w:tcW w:w="2886" w:type="dxa"/>
          </w:tcPr>
          <w:p w14:paraId="163778CB" w14:textId="77777777" w:rsidR="000F7D10" w:rsidRPr="00D454DB" w:rsidRDefault="000F7D10" w:rsidP="000F7D10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x-none" w:eastAsia="en-GB"/>
              </w:rPr>
            </w:pPr>
            <w:proofErr w:type="spellStart"/>
            <w:r w:rsidRPr="00D454DB">
              <w:rPr>
                <w:rFonts w:eastAsia="Times New Roman" w:cs="Tahoma"/>
                <w:szCs w:val="20"/>
                <w:lang w:val="x-none" w:eastAsia="en-GB"/>
              </w:rPr>
              <w:t>Stimularea</w:t>
            </w:r>
            <w:proofErr w:type="spellEnd"/>
            <w:r w:rsidRPr="00D454D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D454DB"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 w:rsidRPr="00D454D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D454DB">
              <w:rPr>
                <w:rFonts w:eastAsia="Times New Roman" w:cs="Tahoma"/>
                <w:szCs w:val="20"/>
                <w:lang w:val="x-none" w:eastAsia="en-GB"/>
              </w:rPr>
              <w:t>promovarea</w:t>
            </w:r>
            <w:proofErr w:type="spellEnd"/>
            <w:r w:rsidRPr="00D454D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D454DB">
              <w:rPr>
                <w:rFonts w:eastAsia="Times New Roman" w:cs="Tahoma"/>
                <w:szCs w:val="20"/>
                <w:lang w:val="x-none" w:eastAsia="en-GB"/>
              </w:rPr>
              <w:t>iniţiativelor</w:t>
            </w:r>
            <w:proofErr w:type="spellEnd"/>
            <w:r w:rsidRPr="00D454D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D454DB">
              <w:rPr>
                <w:rFonts w:eastAsia="Times New Roman" w:cs="Tahoma"/>
                <w:szCs w:val="20"/>
                <w:lang w:val="x-none" w:eastAsia="en-GB"/>
              </w:rPr>
              <w:t>antreprenoriale</w:t>
            </w:r>
            <w:proofErr w:type="spellEnd"/>
            <w:r w:rsidRPr="00D454DB"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 w:rsidRPr="00D454DB">
              <w:rPr>
                <w:rFonts w:eastAsia="Times New Roman" w:cs="Tahoma"/>
                <w:szCs w:val="20"/>
                <w:lang w:val="x-none" w:eastAsia="en-GB"/>
              </w:rPr>
              <w:t>în</w:t>
            </w:r>
            <w:proofErr w:type="spellEnd"/>
            <w:r w:rsidRPr="00D454DB">
              <w:rPr>
                <w:rFonts w:eastAsia="Times New Roman" w:cs="Tahoma"/>
                <w:szCs w:val="20"/>
                <w:lang w:val="x-none" w:eastAsia="en-GB"/>
              </w:rPr>
              <w:t xml:space="preserve"> ZUM</w:t>
            </w:r>
          </w:p>
          <w:p w14:paraId="6921B918" w14:textId="77777777" w:rsidR="009C6BF6" w:rsidRPr="009C6BF6" w:rsidRDefault="009C6BF6" w:rsidP="000F7D10">
            <w:pPr>
              <w:suppressAutoHyphens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eastAsia="Times New Roman" w:cs="Tahoma"/>
                <w:szCs w:val="20"/>
                <w:lang w:val="en-GB" w:eastAsia="en-GB"/>
              </w:rPr>
            </w:pPr>
          </w:p>
        </w:tc>
        <w:tc>
          <w:tcPr>
            <w:tcW w:w="1936" w:type="dxa"/>
          </w:tcPr>
          <w:p w14:paraId="4DC6B425" w14:textId="77777777" w:rsidR="000F7D10" w:rsidRDefault="009C6BF6" w:rsidP="00D454D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x-none" w:eastAsia="en-GB"/>
              </w:rPr>
            </w:pPr>
            <w:r>
              <w:rPr>
                <w:lang w:val="ro-RO"/>
              </w:rPr>
              <w:t>-</w:t>
            </w:r>
            <w:r w:rsidR="000F7D10">
              <w:rPr>
                <w:lang w:val="ro-RO"/>
              </w:rPr>
              <w:t xml:space="preserve"> </w:t>
            </w:r>
            <w:r w:rsidR="000F7D10">
              <w:rPr>
                <w:rFonts w:eastAsia="Times New Roman" w:cs="Tahoma"/>
                <w:szCs w:val="20"/>
                <w:lang w:val="x-none" w:eastAsia="en-GB"/>
              </w:rPr>
              <w:t xml:space="preserve">2 </w:t>
            </w:r>
            <w:proofErr w:type="spellStart"/>
            <w:r w:rsidR="000F7D10">
              <w:rPr>
                <w:rFonts w:eastAsia="Times New Roman" w:cs="Tahoma"/>
                <w:szCs w:val="20"/>
                <w:lang w:val="x-none" w:eastAsia="en-GB"/>
              </w:rPr>
              <w:t>campanii</w:t>
            </w:r>
            <w:proofErr w:type="spellEnd"/>
            <w:r w:rsidR="000F7D10">
              <w:rPr>
                <w:rFonts w:eastAsia="Times New Roman" w:cs="Tahoma"/>
                <w:szCs w:val="20"/>
                <w:lang w:val="x-none" w:eastAsia="en-GB"/>
              </w:rPr>
              <w:t xml:space="preserve"> de </w:t>
            </w:r>
            <w:proofErr w:type="spellStart"/>
            <w:r w:rsidR="000F7D10">
              <w:rPr>
                <w:rFonts w:eastAsia="Times New Roman" w:cs="Tahoma"/>
                <w:szCs w:val="20"/>
                <w:lang w:val="x-none" w:eastAsia="en-GB"/>
              </w:rPr>
              <w:t>promovare</w:t>
            </w:r>
            <w:proofErr w:type="spellEnd"/>
          </w:p>
          <w:p w14:paraId="5AF9D4E5" w14:textId="77777777" w:rsidR="000F7D10" w:rsidRDefault="000F7D10" w:rsidP="00D454D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x-none" w:eastAsia="en-GB"/>
              </w:rPr>
            </w:pPr>
            <w:r>
              <w:rPr>
                <w:rFonts w:eastAsia="Times New Roman" w:cs="Tahoma"/>
                <w:szCs w:val="20"/>
                <w:lang w:val="x-none" w:eastAsia="en-GB"/>
              </w:rPr>
              <w:t xml:space="preserve">- 3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întâlniri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cu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membrii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comunităţii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antreprenori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din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zonă</w:t>
            </w:r>
            <w:proofErr w:type="spellEnd"/>
          </w:p>
          <w:p w14:paraId="3D692CC8" w14:textId="77777777" w:rsidR="000F7D10" w:rsidRDefault="000F7D10" w:rsidP="00D454D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x-none" w:eastAsia="en-GB"/>
              </w:rPr>
            </w:pPr>
            <w:r>
              <w:rPr>
                <w:rFonts w:eastAsia="Times New Roman" w:cs="Tahoma"/>
                <w:szCs w:val="20"/>
                <w:lang w:val="x-none" w:eastAsia="en-GB"/>
              </w:rPr>
              <w:t xml:space="preserve">- 3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sesiuni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de instruire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în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domeniul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antreprenoriatului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</w:p>
          <w:p w14:paraId="06E7DB76" w14:textId="77777777" w:rsidR="009C6BF6" w:rsidRPr="00D454DB" w:rsidRDefault="000F7D10" w:rsidP="00D454D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ahoma"/>
                <w:szCs w:val="20"/>
                <w:lang w:val="fr-FR" w:eastAsia="en-GB"/>
              </w:rPr>
            </w:pPr>
            <w:r>
              <w:rPr>
                <w:rFonts w:eastAsia="Times New Roman" w:cs="Tahoma"/>
                <w:szCs w:val="20"/>
                <w:lang w:val="x-none" w:eastAsia="en-GB"/>
              </w:rPr>
              <w:t xml:space="preserve">- 45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persoane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din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grupurile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vulnerabile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instruite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şi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sprijinite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pentru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dezvoltarea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unei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afaceri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în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 xml:space="preserve"> </w:t>
            </w:r>
            <w:proofErr w:type="spellStart"/>
            <w:r>
              <w:rPr>
                <w:rFonts w:eastAsia="Times New Roman" w:cs="Tahoma"/>
                <w:szCs w:val="20"/>
                <w:lang w:val="x-none" w:eastAsia="en-GB"/>
              </w:rPr>
              <w:t>zonă</w:t>
            </w:r>
            <w:proofErr w:type="spellEnd"/>
            <w:r>
              <w:rPr>
                <w:rFonts w:eastAsia="Times New Roman" w:cs="Tahoma"/>
                <w:szCs w:val="20"/>
                <w:lang w:val="x-none" w:eastAsia="en-GB"/>
              </w:rPr>
              <w:t>.</w:t>
            </w:r>
          </w:p>
        </w:tc>
        <w:tc>
          <w:tcPr>
            <w:tcW w:w="1634" w:type="dxa"/>
          </w:tcPr>
          <w:p w14:paraId="07DAF970" w14:textId="0E9965E5" w:rsidR="009C6BF6" w:rsidRDefault="009C6BF6" w:rsidP="000F7D10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August</w:t>
            </w:r>
            <w:r w:rsidR="00443B46">
              <w:rPr>
                <w:lang w:val="ro-RO"/>
              </w:rPr>
              <w:t xml:space="preserve"> </w:t>
            </w:r>
            <w:r>
              <w:rPr>
                <w:lang w:val="ro-RO"/>
              </w:rPr>
              <w:t>2019 – Decembrie 2019</w:t>
            </w:r>
          </w:p>
        </w:tc>
        <w:tc>
          <w:tcPr>
            <w:tcW w:w="1735" w:type="dxa"/>
          </w:tcPr>
          <w:p w14:paraId="76A000AC" w14:textId="77777777" w:rsidR="009C6BF6" w:rsidRDefault="009C6BF6" w:rsidP="000F7D10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CD GAL</w:t>
            </w:r>
          </w:p>
        </w:tc>
        <w:tc>
          <w:tcPr>
            <w:tcW w:w="2102" w:type="dxa"/>
          </w:tcPr>
          <w:p w14:paraId="7346AF28" w14:textId="77777777" w:rsidR="009C6BF6" w:rsidRDefault="009C6BF6" w:rsidP="000F7D10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500.000</w:t>
            </w:r>
          </w:p>
        </w:tc>
        <w:tc>
          <w:tcPr>
            <w:tcW w:w="2425" w:type="dxa"/>
          </w:tcPr>
          <w:p w14:paraId="79BA884A" w14:textId="77777777" w:rsidR="009C6BF6" w:rsidRDefault="009C6BF6" w:rsidP="000F7D10">
            <w:pPr>
              <w:spacing w:after="0" w:line="260" w:lineRule="exact"/>
              <w:jc w:val="center"/>
              <w:rPr>
                <w:lang w:val="ro-RO"/>
              </w:rPr>
            </w:pPr>
            <w:r>
              <w:rPr>
                <w:lang w:val="ro-RO"/>
              </w:rPr>
              <w:t>POCU</w:t>
            </w:r>
          </w:p>
        </w:tc>
      </w:tr>
    </w:tbl>
    <w:p w14:paraId="47878735" w14:textId="77777777" w:rsidR="0069463A" w:rsidRPr="00F214E3" w:rsidRDefault="0069463A" w:rsidP="000F7D10">
      <w:pPr>
        <w:jc w:val="both"/>
        <w:rPr>
          <w:lang w:val="ro-RO"/>
        </w:rPr>
      </w:pPr>
    </w:p>
    <w:p w14:paraId="355AC47C" w14:textId="77777777" w:rsidR="000C018A" w:rsidRPr="006C5262" w:rsidRDefault="000C018A" w:rsidP="006C5262"/>
    <w:sectPr w:rsidR="000C018A" w:rsidRPr="006C5262" w:rsidSect="0092330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 w15:restartNumberingAfterBreak="0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8C6767"/>
    <w:multiLevelType w:val="hybridMultilevel"/>
    <w:tmpl w:val="B6A2F10E"/>
    <w:lvl w:ilvl="0" w:tplc="8430A184">
      <w:start w:val="2"/>
      <w:numFmt w:val="bullet"/>
      <w:lvlText w:val="-"/>
      <w:lvlJc w:val="left"/>
      <w:pPr>
        <w:ind w:left="720" w:hanging="360"/>
      </w:pPr>
      <w:rPr>
        <w:rFonts w:ascii="Tahoma" w:eastAsiaTheme="majorEastAsia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9F017C"/>
    <w:multiLevelType w:val="hybridMultilevel"/>
    <w:tmpl w:val="91A29B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5"/>
  </w:num>
  <w:num w:numId="9">
    <w:abstractNumId w:val="1"/>
  </w:num>
  <w:num w:numId="10">
    <w:abstractNumId w:val="5"/>
  </w:num>
  <w:num w:numId="11">
    <w:abstractNumId w:val="1"/>
  </w:num>
  <w:num w:numId="12">
    <w:abstractNumId w:val="5"/>
  </w:num>
  <w:num w:numId="13">
    <w:abstractNumId w:val="1"/>
  </w:num>
  <w:num w:numId="14">
    <w:abstractNumId w:val="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8EF"/>
    <w:rsid w:val="00010F68"/>
    <w:rsid w:val="000C018A"/>
    <w:rsid w:val="000C4FDF"/>
    <w:rsid w:val="000F7D10"/>
    <w:rsid w:val="003849EA"/>
    <w:rsid w:val="00391086"/>
    <w:rsid w:val="003B2F84"/>
    <w:rsid w:val="00443B46"/>
    <w:rsid w:val="00590BB7"/>
    <w:rsid w:val="0069463A"/>
    <w:rsid w:val="006A7CC6"/>
    <w:rsid w:val="006C5262"/>
    <w:rsid w:val="00721F5F"/>
    <w:rsid w:val="007922FD"/>
    <w:rsid w:val="008A3FE3"/>
    <w:rsid w:val="00923301"/>
    <w:rsid w:val="009C6BF6"/>
    <w:rsid w:val="00AF0CFE"/>
    <w:rsid w:val="00B42BBD"/>
    <w:rsid w:val="00BF6662"/>
    <w:rsid w:val="00C90105"/>
    <w:rsid w:val="00D454DB"/>
    <w:rsid w:val="00D52308"/>
    <w:rsid w:val="00E41351"/>
    <w:rsid w:val="00E7421B"/>
    <w:rsid w:val="00F138EF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B2969"/>
  <w15:docId w15:val="{5CEB39BD-EA35-5E46-911D-C1F3BCA4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8EF"/>
    <w:pPr>
      <w:suppressAutoHyphens/>
      <w:spacing w:after="240" w:line="360" w:lineRule="auto"/>
    </w:pPr>
    <w:rPr>
      <w:rFonts w:ascii="Tahoma" w:eastAsiaTheme="majorEastAsia" w:hAnsi="Tahoma"/>
      <w:szCs w:val="24"/>
      <w:lang w:val="es-ES_tradnl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38EF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138EF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eastAsia="ar-SA"/>
    </w:rPr>
  </w:style>
  <w:style w:type="paragraph" w:styleId="NoSpacing">
    <w:name w:val="No Spacing"/>
    <w:link w:val="NoSpacingChar"/>
    <w:uiPriority w:val="1"/>
    <w:qFormat/>
    <w:rsid w:val="00721F5F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21F5F"/>
    <w:rPr>
      <w:rFonts w:ascii="Calibri" w:eastAsia="Calibri" w:hAnsi="Calibri"/>
      <w:sz w:val="22"/>
      <w:szCs w:val="22"/>
      <w:lang w:val="en-US" w:eastAsia="ar-SA"/>
    </w:rPr>
  </w:style>
  <w:style w:type="table" w:styleId="TableGrid">
    <w:name w:val="Table Grid"/>
    <w:basedOn w:val="TableNormal"/>
    <w:uiPriority w:val="39"/>
    <w:rsid w:val="006C5262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4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Clementine</cp:lastModifiedBy>
  <cp:revision>4</cp:revision>
  <dcterms:created xsi:type="dcterms:W3CDTF">2020-08-08T12:20:00Z</dcterms:created>
  <dcterms:modified xsi:type="dcterms:W3CDTF">2021-06-10T15:07:00Z</dcterms:modified>
</cp:coreProperties>
</file>