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 w:rsidR="006C5262" w:rsidRPr="00F214E3" w:rsidP="006C5262" w14:paraId="025E5245" w14:textId="4AA207BF">
      <w:pPr>
        <w:pStyle w:val="Heading2"/>
        <w:pageBreakBefore/>
        <w:bidi w:val="0"/>
        <w:rPr>
          <w:lang w:val="ro-RO"/>
        </w:rPr>
      </w:pPr>
      <w:bookmarkStart w:id="0" w:name="_Toc460076430"/>
      <w:r w:rsidRPr="00F214E3">
        <w:rPr>
          <w:rtl w:val="0"/>
          <w:lang w:val="ru"/>
        </w:rPr>
        <w:t xml:space="preserve">T5 – форма ROMACT для Совместного плана действий </w:t>
      </w:r>
      <w:bookmarkEnd w:id="0"/>
    </w:p>
    <w:p w:rsidR="006C5262" w:rsidRPr="00F214E3" w:rsidP="00443B46" w14:paraId="7786DF8E" w14:textId="760B37AD">
      <w:pPr>
        <w:bidi w:val="0"/>
        <w:jc w:val="both"/>
        <w:rPr>
          <w:lang w:val="ro-RO"/>
        </w:rPr>
      </w:pPr>
      <w:r>
        <w:rPr>
          <w:rtl w:val="0"/>
          <w:lang w:val="ru"/>
        </w:rPr>
        <w:t>Данная форма должна быть, при необходимости, приведена в соответствие с официальными формами, которые используются населенным пунктом для представления на утверждение примару и местному совету.</w:t>
      </w:r>
    </w:p>
    <w:tbl>
      <w:tblPr>
        <w:tblStyle w:val="TableGrid"/>
        <w:tblW w:w="0" w:type="auto"/>
        <w:tblLook w:val="04A0"/>
      </w:tblPr>
      <w:tblGrid>
        <w:gridCol w:w="458"/>
        <w:gridCol w:w="2886"/>
        <w:gridCol w:w="1936"/>
        <w:gridCol w:w="1634"/>
        <w:gridCol w:w="1735"/>
        <w:gridCol w:w="2102"/>
        <w:gridCol w:w="2425"/>
      </w:tblGrid>
      <w:tr w14:paraId="2DB91B8B" w14:textId="77777777" w:rsidTr="003849EA">
        <w:tblPrEx>
          <w:tblW w:w="0" w:type="auto"/>
          <w:tblLook w:val="04A0"/>
        </w:tblPrEx>
        <w:trPr>
          <w:trHeight w:val="726"/>
        </w:trPr>
        <w:tc>
          <w:tcPr>
            <w:tcW w:w="458" w:type="dxa"/>
            <w:shd w:val="clear" w:color="auto" w:fill="CCFFCC"/>
          </w:tcPr>
          <w:p w:rsidR="003849EA" w:rsidRPr="00F214E3" w:rsidP="006D5BF2" w14:paraId="0C3B372A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№</w:t>
            </w:r>
          </w:p>
        </w:tc>
        <w:tc>
          <w:tcPr>
            <w:tcW w:w="2886" w:type="dxa"/>
            <w:shd w:val="clear" w:color="auto" w:fill="CCFFCC"/>
          </w:tcPr>
          <w:p w:rsidR="003849EA" w:rsidRPr="00F214E3" w:rsidP="006D5BF2" w14:paraId="56BFF1F1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Мера / Деятельность</w:t>
            </w:r>
          </w:p>
        </w:tc>
        <w:tc>
          <w:tcPr>
            <w:tcW w:w="1936" w:type="dxa"/>
            <w:shd w:val="clear" w:color="auto" w:fill="CCFFCC"/>
          </w:tcPr>
          <w:p w:rsidR="003849EA" w:rsidRPr="00AF0CFE" w:rsidP="003849EA" w14:paraId="1CB1806C" w14:textId="77777777">
            <w:pPr>
              <w:bidi w:val="0"/>
              <w:jc w:val="center"/>
              <w:rPr>
                <w:b/>
                <w:lang w:val="ro-RO"/>
              </w:rPr>
            </w:pPr>
            <w:r w:rsidRPr="000C4FDF">
              <w:rPr>
                <w:b/>
                <w:rtl w:val="0"/>
                <w:lang w:val="ru"/>
              </w:rPr>
              <w:t>Предполагаемые результаты и показатели</w:t>
            </w:r>
          </w:p>
        </w:tc>
        <w:tc>
          <w:tcPr>
            <w:tcW w:w="1634" w:type="dxa"/>
            <w:shd w:val="clear" w:color="auto" w:fill="CCFFCC"/>
          </w:tcPr>
          <w:p w:rsidR="003849EA" w:rsidRPr="00AF0CFE" w:rsidP="006D5BF2" w14:paraId="609868DA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Период реализации</w:t>
            </w:r>
          </w:p>
        </w:tc>
        <w:tc>
          <w:tcPr>
            <w:tcW w:w="1735" w:type="dxa"/>
            <w:shd w:val="clear" w:color="auto" w:fill="CCFFCC"/>
          </w:tcPr>
          <w:p w:rsidR="003849EA" w:rsidRPr="00AF0CFE" w:rsidP="006D5BF2" w14:paraId="51FB672F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Ответственное лицо</w:t>
            </w:r>
          </w:p>
        </w:tc>
        <w:tc>
          <w:tcPr>
            <w:tcW w:w="2102" w:type="dxa"/>
            <w:shd w:val="clear" w:color="auto" w:fill="CCFFCC"/>
          </w:tcPr>
          <w:p w:rsidR="003849EA" w:rsidRPr="000C4FDF" w:rsidP="006D5BF2" w14:paraId="34B256CF" w14:textId="77777777">
            <w:pPr>
              <w:bidi w:val="0"/>
              <w:jc w:val="center"/>
              <w:rPr>
                <w:b/>
                <w:lang w:val="ro-RO"/>
              </w:rPr>
            </w:pPr>
            <w:r w:rsidRPr="000C4FDF">
              <w:rPr>
                <w:b/>
                <w:rtl w:val="0"/>
                <w:lang w:val="ru"/>
              </w:rPr>
              <w:t>Предполагаемый бюджет</w:t>
            </w:r>
          </w:p>
        </w:tc>
        <w:tc>
          <w:tcPr>
            <w:tcW w:w="2425" w:type="dxa"/>
            <w:shd w:val="clear" w:color="auto" w:fill="CCFFCC"/>
          </w:tcPr>
          <w:p w:rsidR="003849EA" w:rsidRPr="00F214E3" w:rsidP="006D5BF2" w14:paraId="38B909C8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Источник финансирования</w:t>
            </w:r>
          </w:p>
        </w:tc>
      </w:tr>
      <w:tr w14:paraId="0B052C62" w14:textId="77777777" w:rsidTr="003849EA">
        <w:tblPrEx>
          <w:tblW w:w="0" w:type="auto"/>
          <w:tblLook w:val="04A0"/>
        </w:tblPrEx>
        <w:tc>
          <w:tcPr>
            <w:tcW w:w="458" w:type="dxa"/>
          </w:tcPr>
          <w:p w:rsidR="003849EA" w:rsidRPr="00F214E3" w:rsidP="006D5BF2" w14:paraId="31626DD4" w14:textId="77777777">
            <w:pPr>
              <w:rPr>
                <w:lang w:val="ro-RO"/>
              </w:rPr>
            </w:pPr>
          </w:p>
        </w:tc>
        <w:tc>
          <w:tcPr>
            <w:tcW w:w="2886" w:type="dxa"/>
          </w:tcPr>
          <w:p w:rsidR="003849EA" w:rsidRPr="00F214E3" w:rsidP="006D5BF2" w14:paraId="281C18B0" w14:textId="77777777">
            <w:pPr>
              <w:rPr>
                <w:lang w:val="ro-RO"/>
              </w:rPr>
            </w:pPr>
          </w:p>
        </w:tc>
        <w:tc>
          <w:tcPr>
            <w:tcW w:w="1936" w:type="dxa"/>
          </w:tcPr>
          <w:p w:rsidR="003849EA" w:rsidRPr="00F214E3" w:rsidP="006D5BF2" w14:paraId="58EBD407" w14:textId="77777777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</w:tc>
        <w:tc>
          <w:tcPr>
            <w:tcW w:w="1634" w:type="dxa"/>
          </w:tcPr>
          <w:p w:rsidR="003849EA" w:rsidRPr="00F214E3" w:rsidP="006D5BF2" w14:paraId="6A32044E" w14:textId="77777777">
            <w:pPr>
              <w:rPr>
                <w:lang w:val="ro-RO"/>
              </w:rPr>
            </w:pPr>
          </w:p>
        </w:tc>
        <w:tc>
          <w:tcPr>
            <w:tcW w:w="1735" w:type="dxa"/>
          </w:tcPr>
          <w:p w:rsidR="003849EA" w:rsidRPr="00F214E3" w:rsidP="006D5BF2" w14:paraId="1BDC1687" w14:textId="77777777">
            <w:pPr>
              <w:rPr>
                <w:lang w:val="ro-RO"/>
              </w:rPr>
            </w:pPr>
          </w:p>
        </w:tc>
        <w:tc>
          <w:tcPr>
            <w:tcW w:w="2102" w:type="dxa"/>
          </w:tcPr>
          <w:p w:rsidR="003849EA" w:rsidRPr="00F214E3" w:rsidP="006D5BF2" w14:paraId="65590BFD" w14:textId="77777777">
            <w:pPr>
              <w:rPr>
                <w:lang w:val="ro-RO"/>
              </w:rPr>
            </w:pPr>
          </w:p>
        </w:tc>
        <w:tc>
          <w:tcPr>
            <w:tcW w:w="2425" w:type="dxa"/>
          </w:tcPr>
          <w:p w:rsidR="003849EA" w:rsidRPr="00F214E3" w:rsidP="006D5BF2" w14:paraId="242DC5AC" w14:textId="77777777">
            <w:pPr>
              <w:rPr>
                <w:lang w:val="ro-RO"/>
              </w:rPr>
            </w:pPr>
          </w:p>
        </w:tc>
      </w:tr>
      <w:tr w14:paraId="28D492F8" w14:textId="77777777" w:rsidTr="003849EA">
        <w:tblPrEx>
          <w:tblW w:w="0" w:type="auto"/>
          <w:tblLook w:val="04A0"/>
        </w:tblPrEx>
        <w:tc>
          <w:tcPr>
            <w:tcW w:w="458" w:type="dxa"/>
          </w:tcPr>
          <w:p w:rsidR="003849EA" w:rsidRPr="00F214E3" w:rsidP="006D5BF2" w14:paraId="6084575C" w14:textId="77777777">
            <w:pPr>
              <w:rPr>
                <w:lang w:val="ro-RO"/>
              </w:rPr>
            </w:pPr>
          </w:p>
        </w:tc>
        <w:tc>
          <w:tcPr>
            <w:tcW w:w="2886" w:type="dxa"/>
          </w:tcPr>
          <w:p w:rsidR="003849EA" w:rsidRPr="00F214E3" w:rsidP="00E7421B" w14:paraId="50184142" w14:textId="77777777">
            <w:pPr>
              <w:rPr>
                <w:lang w:val="ro-RO"/>
              </w:rPr>
            </w:pPr>
          </w:p>
        </w:tc>
        <w:tc>
          <w:tcPr>
            <w:tcW w:w="1936" w:type="dxa"/>
          </w:tcPr>
          <w:p w:rsidR="00E7421B" w:rsidRPr="00F214E3" w:rsidP="006D5BF2" w14:paraId="4D8C5CD7" w14:textId="77777777">
            <w:pPr>
              <w:rPr>
                <w:lang w:val="ro-RO"/>
              </w:rPr>
            </w:pPr>
          </w:p>
        </w:tc>
        <w:tc>
          <w:tcPr>
            <w:tcW w:w="1634" w:type="dxa"/>
          </w:tcPr>
          <w:p w:rsidR="003849EA" w:rsidRPr="00F214E3" w:rsidP="00B42BBD" w14:paraId="1CD2721C" w14:textId="77777777">
            <w:pPr>
              <w:rPr>
                <w:lang w:val="ro-RO"/>
              </w:rPr>
            </w:pPr>
          </w:p>
        </w:tc>
        <w:tc>
          <w:tcPr>
            <w:tcW w:w="1735" w:type="dxa"/>
          </w:tcPr>
          <w:p w:rsidR="003849EA" w:rsidRPr="00F214E3" w:rsidP="006D5BF2" w14:paraId="50705305" w14:textId="77777777">
            <w:pPr>
              <w:rPr>
                <w:lang w:val="ro-RO"/>
              </w:rPr>
            </w:pPr>
          </w:p>
        </w:tc>
        <w:tc>
          <w:tcPr>
            <w:tcW w:w="2102" w:type="dxa"/>
          </w:tcPr>
          <w:p w:rsidR="003849EA" w:rsidRPr="00F214E3" w:rsidP="006D5BF2" w14:paraId="002DBF29" w14:textId="77777777">
            <w:pPr>
              <w:rPr>
                <w:lang w:val="ro-RO"/>
              </w:rPr>
            </w:pPr>
          </w:p>
        </w:tc>
        <w:tc>
          <w:tcPr>
            <w:tcW w:w="2425" w:type="dxa"/>
          </w:tcPr>
          <w:p w:rsidR="003849EA" w:rsidRPr="00F214E3" w:rsidP="006D5BF2" w14:paraId="760B4149" w14:textId="77777777">
            <w:pPr>
              <w:rPr>
                <w:lang w:val="ro-RO"/>
              </w:rPr>
            </w:pPr>
          </w:p>
        </w:tc>
      </w:tr>
      <w:tr w14:paraId="5FD531C7" w14:textId="77777777" w:rsidTr="003849EA">
        <w:tblPrEx>
          <w:tblW w:w="0" w:type="auto"/>
          <w:tblLook w:val="04A0"/>
        </w:tblPrEx>
        <w:tc>
          <w:tcPr>
            <w:tcW w:w="458" w:type="dxa"/>
          </w:tcPr>
          <w:p w:rsidR="003849EA" w:rsidRPr="00F214E3" w:rsidP="006D5BF2" w14:paraId="7E170949" w14:textId="77777777">
            <w:pPr>
              <w:rPr>
                <w:lang w:val="ro-RO"/>
              </w:rPr>
            </w:pPr>
          </w:p>
        </w:tc>
        <w:tc>
          <w:tcPr>
            <w:tcW w:w="2886" w:type="dxa"/>
          </w:tcPr>
          <w:p w:rsidR="003849EA" w:rsidRPr="00F214E3" w:rsidP="006D5BF2" w14:paraId="54CC2383" w14:textId="77777777">
            <w:pPr>
              <w:rPr>
                <w:lang w:val="ro-RO"/>
              </w:rPr>
            </w:pPr>
          </w:p>
        </w:tc>
        <w:tc>
          <w:tcPr>
            <w:tcW w:w="1936" w:type="dxa"/>
          </w:tcPr>
          <w:p w:rsidR="003849EA" w:rsidRPr="00F214E3" w:rsidP="006D5BF2" w14:paraId="367B4B4E" w14:textId="77777777">
            <w:pPr>
              <w:rPr>
                <w:lang w:val="ro-RO"/>
              </w:rPr>
            </w:pPr>
          </w:p>
        </w:tc>
        <w:tc>
          <w:tcPr>
            <w:tcW w:w="1634" w:type="dxa"/>
          </w:tcPr>
          <w:p w:rsidR="003849EA" w:rsidRPr="00F214E3" w:rsidP="006D5BF2" w14:paraId="3304CCB3" w14:textId="77777777">
            <w:pPr>
              <w:rPr>
                <w:lang w:val="ro-RO"/>
              </w:rPr>
            </w:pPr>
          </w:p>
        </w:tc>
        <w:tc>
          <w:tcPr>
            <w:tcW w:w="1735" w:type="dxa"/>
          </w:tcPr>
          <w:p w:rsidR="003849EA" w:rsidRPr="00F214E3" w:rsidP="006D5BF2" w14:paraId="5A2DAEF1" w14:textId="77777777">
            <w:pPr>
              <w:rPr>
                <w:lang w:val="ro-RO"/>
              </w:rPr>
            </w:pPr>
          </w:p>
        </w:tc>
        <w:tc>
          <w:tcPr>
            <w:tcW w:w="2102" w:type="dxa"/>
          </w:tcPr>
          <w:p w:rsidR="003849EA" w:rsidRPr="00F214E3" w:rsidP="006D5BF2" w14:paraId="259D2B12" w14:textId="77777777">
            <w:pPr>
              <w:rPr>
                <w:lang w:val="ro-RO"/>
              </w:rPr>
            </w:pPr>
          </w:p>
        </w:tc>
        <w:tc>
          <w:tcPr>
            <w:tcW w:w="2425" w:type="dxa"/>
          </w:tcPr>
          <w:p w:rsidR="003849EA" w:rsidRPr="00F214E3" w:rsidP="006D5BF2" w14:paraId="198A0B03" w14:textId="77777777">
            <w:pPr>
              <w:rPr>
                <w:lang w:val="ro-RO"/>
              </w:rPr>
            </w:pPr>
          </w:p>
        </w:tc>
      </w:tr>
    </w:tbl>
    <w:p w:rsidR="006C5262" w:rsidP="006C5262" w14:paraId="10E38845" w14:textId="77777777">
      <w:pPr>
        <w:rPr>
          <w:lang w:val="ro-RO"/>
        </w:rPr>
      </w:pPr>
    </w:p>
    <w:p w:rsidR="0069463A" w:rsidRPr="0069463A" w:rsidP="006C5262" w14:paraId="03EF84E7" w14:textId="77777777">
      <w:pPr>
        <w:bidi w:val="0"/>
        <w:rPr>
          <w:b/>
          <w:i/>
          <w:sz w:val="24"/>
          <w:lang w:val="ro-RO"/>
        </w:rPr>
      </w:pPr>
      <w:r w:rsidRPr="0069463A">
        <w:rPr>
          <w:b/>
          <w:i/>
          <w:sz w:val="24"/>
          <w:rtl w:val="0"/>
          <w:lang w:val="ru"/>
        </w:rPr>
        <w:t>Пример:</w:t>
      </w:r>
    </w:p>
    <w:tbl>
      <w:tblPr>
        <w:tblStyle w:val="TableGrid"/>
        <w:tblW w:w="0" w:type="auto"/>
        <w:tblLook w:val="04A0"/>
      </w:tblPr>
      <w:tblGrid>
        <w:gridCol w:w="458"/>
        <w:gridCol w:w="2886"/>
        <w:gridCol w:w="1936"/>
        <w:gridCol w:w="1634"/>
        <w:gridCol w:w="1735"/>
        <w:gridCol w:w="2102"/>
        <w:gridCol w:w="2425"/>
      </w:tblGrid>
      <w:tr w14:paraId="5E9F7B05" w14:textId="77777777" w:rsidTr="007958AE">
        <w:tblPrEx>
          <w:tblW w:w="0" w:type="auto"/>
          <w:tblLook w:val="04A0"/>
        </w:tblPrEx>
        <w:trPr>
          <w:trHeight w:val="726"/>
        </w:trPr>
        <w:tc>
          <w:tcPr>
            <w:tcW w:w="458" w:type="dxa"/>
            <w:shd w:val="clear" w:color="auto" w:fill="CCFFCC"/>
          </w:tcPr>
          <w:p w:rsidR="0069463A" w:rsidRPr="00F214E3" w:rsidP="007958AE" w14:paraId="16CA507C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№</w:t>
            </w:r>
          </w:p>
        </w:tc>
        <w:tc>
          <w:tcPr>
            <w:tcW w:w="2886" w:type="dxa"/>
            <w:shd w:val="clear" w:color="auto" w:fill="CCFFCC"/>
          </w:tcPr>
          <w:p w:rsidR="0069463A" w:rsidRPr="00F214E3" w:rsidP="007958AE" w14:paraId="6A7E7239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Мера / Деятельность</w:t>
            </w:r>
          </w:p>
        </w:tc>
        <w:tc>
          <w:tcPr>
            <w:tcW w:w="1936" w:type="dxa"/>
            <w:shd w:val="clear" w:color="auto" w:fill="CCFFCC"/>
          </w:tcPr>
          <w:p w:rsidR="0069463A" w:rsidRPr="00AF0CFE" w:rsidP="007958AE" w14:paraId="0FF0D1FF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Предполагаемые результаты и показатели</w:t>
            </w:r>
          </w:p>
        </w:tc>
        <w:tc>
          <w:tcPr>
            <w:tcW w:w="1634" w:type="dxa"/>
            <w:shd w:val="clear" w:color="auto" w:fill="CCFFCC"/>
          </w:tcPr>
          <w:p w:rsidR="0069463A" w:rsidRPr="00AF0CFE" w:rsidP="007958AE" w14:paraId="24B4DC96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Период реализации</w:t>
            </w:r>
          </w:p>
        </w:tc>
        <w:tc>
          <w:tcPr>
            <w:tcW w:w="1735" w:type="dxa"/>
            <w:shd w:val="clear" w:color="auto" w:fill="CCFFCC"/>
          </w:tcPr>
          <w:p w:rsidR="0069463A" w:rsidRPr="00AF0CFE" w:rsidP="007958AE" w14:paraId="497F1BC4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Ответственное лицо</w:t>
            </w:r>
          </w:p>
        </w:tc>
        <w:tc>
          <w:tcPr>
            <w:tcW w:w="2102" w:type="dxa"/>
            <w:shd w:val="clear" w:color="auto" w:fill="CCFFCC"/>
          </w:tcPr>
          <w:p w:rsidR="0069463A" w:rsidP="007958AE" w14:paraId="2C590DAA" w14:textId="77777777">
            <w:pPr>
              <w:bidi w:val="0"/>
              <w:jc w:val="center"/>
              <w:rPr>
                <w:b/>
                <w:lang w:val="ro-RO"/>
              </w:rPr>
            </w:pPr>
            <w:r w:rsidRPr="00AF0CFE">
              <w:rPr>
                <w:b/>
                <w:rtl w:val="0"/>
                <w:lang w:val="ru"/>
              </w:rPr>
              <w:t>Предполагаемый бюджет</w:t>
            </w:r>
          </w:p>
          <w:p w:rsidR="00B42BBD" w:rsidRPr="00AF0CFE" w:rsidP="007958AE" w14:paraId="6F6DF5F7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(леев)</w:t>
            </w:r>
          </w:p>
        </w:tc>
        <w:tc>
          <w:tcPr>
            <w:tcW w:w="2425" w:type="dxa"/>
            <w:shd w:val="clear" w:color="auto" w:fill="CCFFCC"/>
          </w:tcPr>
          <w:p w:rsidR="0069463A" w:rsidRPr="00F214E3" w:rsidP="007958AE" w14:paraId="6882024F" w14:textId="77777777">
            <w:pPr>
              <w:bidi w:val="0"/>
              <w:jc w:val="center"/>
              <w:rPr>
                <w:b/>
                <w:lang w:val="ro-RO"/>
              </w:rPr>
            </w:pPr>
            <w:r>
              <w:rPr>
                <w:b/>
                <w:rtl w:val="0"/>
                <w:lang w:val="ru"/>
              </w:rPr>
              <w:t>Источник финансирования</w:t>
            </w:r>
          </w:p>
        </w:tc>
      </w:tr>
      <w:tr w14:paraId="2200B0BD" w14:textId="77777777" w:rsidTr="007958AE">
        <w:tblPrEx>
          <w:tblW w:w="0" w:type="auto"/>
          <w:tblLook w:val="04A0"/>
        </w:tblPrEx>
        <w:tc>
          <w:tcPr>
            <w:tcW w:w="458" w:type="dxa"/>
          </w:tcPr>
          <w:p w:rsidR="00B42BBD" w:rsidRPr="00F214E3" w:rsidP="00B42BBD" w14:paraId="273F655B" w14:textId="77777777">
            <w:pPr>
              <w:bidi w:val="0"/>
              <w:jc w:val="right"/>
              <w:rPr>
                <w:lang w:val="ro-RO"/>
              </w:rPr>
            </w:pPr>
            <w:r>
              <w:rPr>
                <w:rtl w:val="0"/>
                <w:lang w:val="ru"/>
              </w:rPr>
              <w:t>1.</w:t>
            </w:r>
          </w:p>
        </w:tc>
        <w:tc>
          <w:tcPr>
            <w:tcW w:w="2886" w:type="dxa"/>
          </w:tcPr>
          <w:p w:rsidR="00B42BBD" w:rsidRPr="00B42BBD" w:rsidP="000F7D10" w14:paraId="4620152C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en-GB" w:eastAsia="en-GB"/>
              </w:rPr>
            </w:pPr>
            <w:r>
              <w:rPr>
                <w:rFonts w:eastAsia="Times New Roman" w:cs="Tahoma"/>
                <w:szCs w:val="20"/>
                <w:rtl w:val="0"/>
                <w:lang w:val="ru" w:eastAsia="en-GB"/>
              </w:rPr>
              <w:t>Создание и оснащение многофункциональных центров поддержки людей из уязвимых групп, проживающих на территории, охватываемой Стратегией местного развития (SDL)</w:t>
            </w:r>
          </w:p>
        </w:tc>
        <w:tc>
          <w:tcPr>
            <w:tcW w:w="1936" w:type="dxa"/>
          </w:tcPr>
          <w:p w:rsidR="00B42BBD" w:rsidRPr="00D454DB" w:rsidP="000F7D10" w14:paraId="57D90CE7" w14:textId="5F68029E">
            <w:pPr>
              <w:suppressAutoHyphens w:val="0"/>
              <w:autoSpaceDE w:val="0"/>
              <w:autoSpaceDN w:val="0"/>
              <w:bidi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fr-FR" w:eastAsia="en-GB"/>
              </w:rPr>
            </w:pPr>
            <w:r>
              <w:rPr>
                <w:rtl w:val="0"/>
                <w:lang w:val="ru"/>
              </w:rPr>
              <w:t>- создание и оснащение 2-х многофункциональных центров</w:t>
            </w:r>
          </w:p>
        </w:tc>
        <w:tc>
          <w:tcPr>
            <w:tcW w:w="1634" w:type="dxa"/>
          </w:tcPr>
          <w:p w:rsidR="00B42BBD" w:rsidRPr="00F214E3" w:rsidP="000F7D10" w14:paraId="3CD0E48B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январь 2018 г. – июль 2019 г.</w:t>
            </w:r>
          </w:p>
        </w:tc>
        <w:tc>
          <w:tcPr>
            <w:tcW w:w="1735" w:type="dxa"/>
          </w:tcPr>
          <w:p w:rsidR="00B42BBD" w:rsidRPr="00F214E3" w:rsidP="009C6BF6" w14:paraId="34DC6E2E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Руководство Местных инициативных групп (CD GAL)</w:t>
            </w:r>
          </w:p>
        </w:tc>
        <w:tc>
          <w:tcPr>
            <w:tcW w:w="2102" w:type="dxa"/>
          </w:tcPr>
          <w:p w:rsidR="00B42BBD" w:rsidRPr="00F214E3" w:rsidP="009C6BF6" w14:paraId="077BB1B5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2 700 000</w:t>
            </w:r>
          </w:p>
        </w:tc>
        <w:tc>
          <w:tcPr>
            <w:tcW w:w="2425" w:type="dxa"/>
          </w:tcPr>
          <w:p w:rsidR="00B42BBD" w:rsidRPr="00F214E3" w:rsidP="009C6BF6" w14:paraId="2F5D1BCF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Оперативная программа регионального развития (POR)/Оперативная программа человеческого капитала (POCU)</w:t>
            </w:r>
          </w:p>
        </w:tc>
      </w:tr>
      <w:tr w14:paraId="040B7B58" w14:textId="77777777" w:rsidTr="007958AE">
        <w:tblPrEx>
          <w:tblW w:w="0" w:type="auto"/>
          <w:tblLook w:val="04A0"/>
        </w:tblPrEx>
        <w:tc>
          <w:tcPr>
            <w:tcW w:w="458" w:type="dxa"/>
          </w:tcPr>
          <w:p w:rsidR="009C6BF6" w:rsidP="000F7D10" w14:paraId="0F8902A7" w14:textId="77777777">
            <w:pPr>
              <w:bidi w:val="0"/>
              <w:jc w:val="both"/>
              <w:rPr>
                <w:lang w:val="ro-RO"/>
              </w:rPr>
            </w:pPr>
            <w:r>
              <w:rPr>
                <w:rtl w:val="0"/>
                <w:lang w:val="ru"/>
              </w:rPr>
              <w:t>2.</w:t>
            </w:r>
          </w:p>
        </w:tc>
        <w:tc>
          <w:tcPr>
            <w:tcW w:w="2886" w:type="dxa"/>
          </w:tcPr>
          <w:p w:rsidR="000F7D10" w:rsidRPr="00D454DB" w:rsidP="000F7D10" w14:paraId="163778CB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x-none" w:eastAsia="en-GB"/>
              </w:rPr>
            </w:pPr>
            <w:r w:rsidRPr="00D454DB">
              <w:rPr>
                <w:rFonts w:eastAsia="Times New Roman" w:cs="Tahoma"/>
                <w:szCs w:val="20"/>
                <w:rtl w:val="0"/>
                <w:lang w:val="ru" w:eastAsia="en-GB"/>
              </w:rPr>
              <w:t>Стимулирование и продвижение предпринимательских инициатив в рамках маргинализованных городских территорий (ZUM)</w:t>
            </w:r>
          </w:p>
          <w:p w:rsidR="009C6BF6" w:rsidRPr="009C6BF6" w:rsidP="000F7D10" w14:paraId="6921B918" w14:textId="77777777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en-GB" w:eastAsia="en-GB"/>
              </w:rPr>
            </w:pPr>
          </w:p>
        </w:tc>
        <w:tc>
          <w:tcPr>
            <w:tcW w:w="1936" w:type="dxa"/>
          </w:tcPr>
          <w:p w:rsidR="000F7D10" w:rsidP="00D454DB" w14:paraId="4DC6B425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rtl w:val="0"/>
                <w:lang w:val="ru"/>
              </w:rPr>
              <w:t>- 2 рекламные кампании</w:t>
            </w:r>
          </w:p>
          <w:p w:rsidR="000F7D10" w:rsidP="00D454DB" w14:paraId="5AF9D4E5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rFonts w:eastAsia="Times New Roman" w:cs="Tahoma"/>
                <w:szCs w:val="20"/>
                <w:rtl w:val="0"/>
                <w:lang w:val="ru" w:eastAsia="en-GB"/>
              </w:rPr>
              <w:t xml:space="preserve">- 3 встречи с членами сообщества и предпринимателями в рамках территории </w:t>
            </w:r>
          </w:p>
          <w:p w:rsidR="000F7D10" w:rsidP="00D454DB" w14:paraId="3D692CC8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rFonts w:eastAsia="Times New Roman" w:cs="Tahoma"/>
                <w:szCs w:val="20"/>
                <w:rtl w:val="0"/>
                <w:lang w:val="ru" w:eastAsia="en-GB"/>
              </w:rPr>
              <w:t xml:space="preserve">- 3 тренинга в сфере предпринимательства </w:t>
            </w:r>
          </w:p>
          <w:p w:rsidR="009C6BF6" w:rsidRPr="00D454DB" w:rsidP="00D454DB" w14:paraId="06E7DB76" w14:textId="77777777">
            <w:pPr>
              <w:suppressAutoHyphens w:val="0"/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fr-FR" w:eastAsia="en-GB"/>
              </w:rPr>
            </w:pPr>
            <w:r>
              <w:rPr>
                <w:rFonts w:eastAsia="Times New Roman" w:cs="Tahoma"/>
                <w:szCs w:val="20"/>
                <w:rtl w:val="0"/>
                <w:lang w:val="ru" w:eastAsia="en-GB"/>
              </w:rPr>
              <w:t>- обучение 45-ти человек из уязвимых групп и содействие в развитии бизнеса в рамках территории.</w:t>
            </w:r>
          </w:p>
        </w:tc>
        <w:tc>
          <w:tcPr>
            <w:tcW w:w="1634" w:type="dxa"/>
          </w:tcPr>
          <w:p w:rsidR="009C6BF6" w:rsidP="000F7D10" w14:paraId="07DAF970" w14:textId="0E9965E5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август 2019 г. – декабрь 2019 г.</w:t>
            </w:r>
          </w:p>
        </w:tc>
        <w:tc>
          <w:tcPr>
            <w:tcW w:w="1735" w:type="dxa"/>
          </w:tcPr>
          <w:p w:rsidR="009C6BF6" w:rsidP="000F7D10" w14:paraId="76A000AC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Руководство Местных инициативных групп (CD GAL)</w:t>
            </w:r>
          </w:p>
        </w:tc>
        <w:tc>
          <w:tcPr>
            <w:tcW w:w="2102" w:type="dxa"/>
          </w:tcPr>
          <w:p w:rsidR="009C6BF6" w:rsidP="000F7D10" w14:paraId="7346AF28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500 000</w:t>
            </w:r>
          </w:p>
        </w:tc>
        <w:tc>
          <w:tcPr>
            <w:tcW w:w="2425" w:type="dxa"/>
          </w:tcPr>
          <w:p w:rsidR="009C6BF6" w:rsidP="000F7D10" w14:paraId="79BA884A" w14:textId="77777777">
            <w:pPr>
              <w:bidi w:val="0"/>
              <w:spacing w:after="0" w:line="260" w:lineRule="exact"/>
              <w:jc w:val="center"/>
              <w:rPr>
                <w:lang w:val="ro-RO"/>
              </w:rPr>
            </w:pPr>
            <w:r>
              <w:rPr>
                <w:rtl w:val="0"/>
                <w:lang w:val="ru"/>
              </w:rPr>
              <w:t>Оперативная программа человеческого капитала (POCU)</w:t>
            </w:r>
          </w:p>
        </w:tc>
      </w:tr>
    </w:tbl>
    <w:p w:rsidR="0069463A" w:rsidRPr="00F214E3" w:rsidP="000F7D10" w14:paraId="47878735" w14:textId="77777777">
      <w:pPr>
        <w:jc w:val="both"/>
        <w:rPr>
          <w:lang w:val="ro-RO"/>
        </w:rPr>
      </w:pPr>
    </w:p>
    <w:p w:rsidR="000C018A" w:rsidRPr="006C5262" w:rsidP="006C5262" w14:paraId="355AC47C" w14:textId="77777777"/>
    <w:sectPr w:rsidSect="0092330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8C6767"/>
    <w:multiLevelType w:val="hybridMultilevel"/>
    <w:tmpl w:val="B6A2F10E"/>
    <w:lvl w:ilvl="0">
      <w:start w:val="2"/>
      <w:numFmt w:val="bullet"/>
      <w:lvlText w:val="-"/>
      <w:lvlJc w:val="left"/>
      <w:pPr>
        <w:ind w:left="720" w:hanging="360"/>
      </w:pPr>
      <w:rPr>
        <w:rFonts w:ascii="Tahoma" w:hAnsi="Tahoma" w:eastAsiaTheme="majorEastAsia" w:cs="Tahoma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F017C"/>
    <w:multiLevelType w:val="hybridMultilevel"/>
    <w:tmpl w:val="91A29B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07262"/>
    <w:multiLevelType w:val="hybridMultilevel"/>
    <w:tmpl w:val="0978B176"/>
    <w:lvl w:ilvl="0">
      <w:start w:val="1"/>
      <w:numFmt w:val="bullet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5"/>
  </w:num>
  <w:num w:numId="9">
    <w:abstractNumId w:val="1"/>
  </w:num>
  <w:num w:numId="10">
    <w:abstractNumId w:val="5"/>
  </w:num>
  <w:num w:numId="11">
    <w:abstractNumId w:val="1"/>
  </w:num>
  <w:num w:numId="12">
    <w:abstractNumId w:val="5"/>
  </w:num>
  <w:num w:numId="13">
    <w:abstractNumId w:val="1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F138EF"/>
    <w:rsid w:val="00010F68"/>
    <w:rsid w:val="000C018A"/>
    <w:rsid w:val="000C4FDF"/>
    <w:rsid w:val="000F7D10"/>
    <w:rsid w:val="003849EA"/>
    <w:rsid w:val="00391086"/>
    <w:rsid w:val="003B2F84"/>
    <w:rsid w:val="00443B46"/>
    <w:rsid w:val="00590BB7"/>
    <w:rsid w:val="0069463A"/>
    <w:rsid w:val="006A7CC6"/>
    <w:rsid w:val="006C5262"/>
    <w:rsid w:val="006D5BF2"/>
    <w:rsid w:val="00721F5F"/>
    <w:rsid w:val="007922FD"/>
    <w:rsid w:val="007958AE"/>
    <w:rsid w:val="008A3FE3"/>
    <w:rsid w:val="00923301"/>
    <w:rsid w:val="009C6BF6"/>
    <w:rsid w:val="00AF0CFE"/>
    <w:rsid w:val="00B42BBD"/>
    <w:rsid w:val="00BF6662"/>
    <w:rsid w:val="00C90105"/>
    <w:rsid w:val="00D454DB"/>
    <w:rsid w:val="00D52308"/>
    <w:rsid w:val="00E41351"/>
    <w:rsid w:val="00E7421B"/>
    <w:rsid w:val="00F138EF"/>
    <w:rsid w:val="00F214E3"/>
    <w:rsid w:val="00F634B4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8EF"/>
    <w:pPr>
      <w:suppressAutoHyphens/>
      <w:spacing w:after="240" w:line="360" w:lineRule="auto"/>
    </w:pPr>
    <w:rPr>
      <w:rFonts w:ascii="Tahoma" w:hAnsi="Tahoma" w:eastAsiaTheme="majorEastAsi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8EF"/>
    <w:pPr>
      <w:keepNext/>
      <w:keepLines/>
      <w:spacing w:before="200"/>
      <w:outlineLvl w:val="1"/>
    </w:pPr>
    <w:rPr>
      <w:rFonts w:eastAsia="Times New Roman" w:asciiTheme="majorHAnsi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138EF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21F5F"/>
    <w:rPr>
      <w:rFonts w:ascii="Calibri" w:eastAsia="Calibri" w:hAnsi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39"/>
    <w:rsid w:val="006C526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Clementine</cp:lastModifiedBy>
  <cp:revision>4</cp:revision>
  <dcterms:created xsi:type="dcterms:W3CDTF">2020-08-08T12:20:00Z</dcterms:created>
  <dcterms:modified xsi:type="dcterms:W3CDTF">2021-06-10T15:07:00Z</dcterms:modified>
</cp:coreProperties>
</file>